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E1E36" w14:textId="45BD8B09" w:rsidR="00404A97" w:rsidRPr="00705D02" w:rsidRDefault="00404A97" w:rsidP="00DD4F50">
      <w:pPr>
        <w:pStyle w:val="Prrafodelista"/>
        <w:ind w:left="851"/>
        <w:jc w:val="center"/>
        <w:rPr>
          <w:rFonts w:ascii="Arial" w:hAnsi="Arial" w:cs="Arial"/>
          <w:b/>
          <w:sz w:val="20"/>
          <w:szCs w:val="20"/>
        </w:rPr>
      </w:pPr>
      <w:bookmarkStart w:id="0" w:name="_Hlk188449507"/>
      <w:r w:rsidRPr="00705D02">
        <w:rPr>
          <w:rFonts w:ascii="Arial" w:hAnsi="Arial" w:cs="Arial"/>
          <w:b/>
          <w:sz w:val="20"/>
          <w:szCs w:val="20"/>
        </w:rPr>
        <w:t>CAPÍTULO XXXIV</w:t>
      </w:r>
    </w:p>
    <w:p w14:paraId="50D3D58E" w14:textId="77777777" w:rsidR="00DD4F50" w:rsidRDefault="00DD4F50" w:rsidP="00DD4F50">
      <w:pPr>
        <w:pStyle w:val="Prrafodelista"/>
        <w:ind w:left="851"/>
        <w:jc w:val="center"/>
        <w:rPr>
          <w:rFonts w:ascii="Arial" w:hAnsi="Arial" w:cs="Arial"/>
          <w:b/>
          <w:sz w:val="20"/>
          <w:szCs w:val="20"/>
        </w:rPr>
      </w:pPr>
    </w:p>
    <w:p w14:paraId="429CD04F" w14:textId="5ED94909" w:rsidR="003663D2" w:rsidRPr="00705D02" w:rsidRDefault="003663D2" w:rsidP="00DD4F50">
      <w:pPr>
        <w:pStyle w:val="Prrafodelista"/>
        <w:ind w:left="851"/>
        <w:jc w:val="center"/>
        <w:rPr>
          <w:rFonts w:ascii="Arial" w:hAnsi="Arial" w:cs="Arial"/>
          <w:b/>
          <w:sz w:val="20"/>
          <w:szCs w:val="20"/>
        </w:rPr>
      </w:pPr>
      <w:r w:rsidRPr="00705D02">
        <w:rPr>
          <w:rFonts w:ascii="Arial" w:hAnsi="Arial" w:cs="Arial"/>
          <w:b/>
          <w:sz w:val="20"/>
          <w:szCs w:val="20"/>
        </w:rPr>
        <w:t xml:space="preserve">RÉGIMEN PRUDENCIAL DE LAS </w:t>
      </w:r>
      <w:r w:rsidR="000F5ED3" w:rsidRPr="00705D02">
        <w:rPr>
          <w:rFonts w:ascii="Arial" w:hAnsi="Arial" w:cs="Arial"/>
          <w:b/>
          <w:sz w:val="20"/>
          <w:szCs w:val="20"/>
        </w:rPr>
        <w:t>R</w:t>
      </w:r>
      <w:r w:rsidRPr="00705D02">
        <w:rPr>
          <w:rFonts w:ascii="Arial" w:hAnsi="Arial" w:cs="Arial"/>
          <w:b/>
          <w:sz w:val="20"/>
          <w:szCs w:val="20"/>
        </w:rPr>
        <w:t xml:space="preserve">ESERVAS TÉCNICAS DE </w:t>
      </w:r>
      <w:r w:rsidR="00404A97" w:rsidRPr="00705D02">
        <w:rPr>
          <w:rFonts w:ascii="Arial" w:hAnsi="Arial" w:cs="Arial"/>
          <w:b/>
          <w:sz w:val="20"/>
          <w:szCs w:val="20"/>
        </w:rPr>
        <w:t>LAS ENTIDADES ASEGURADORAS</w:t>
      </w:r>
    </w:p>
    <w:bookmarkEnd w:id="0"/>
    <w:p w14:paraId="4B2ECAC8" w14:textId="77777777" w:rsidR="0049269D" w:rsidRPr="00DD4F50" w:rsidRDefault="0049269D" w:rsidP="00DD4F50">
      <w:pPr>
        <w:rPr>
          <w:rFonts w:ascii="Arial" w:hAnsi="Arial" w:cs="Arial"/>
          <w:bCs/>
          <w:sz w:val="20"/>
          <w:szCs w:val="20"/>
        </w:rPr>
      </w:pPr>
    </w:p>
    <w:p w14:paraId="25E2B666" w14:textId="77777777" w:rsidR="00380501" w:rsidRPr="00DD4F50" w:rsidRDefault="00380501" w:rsidP="003663D2">
      <w:pPr>
        <w:jc w:val="both"/>
        <w:rPr>
          <w:rFonts w:ascii="Arial" w:hAnsi="Arial" w:cs="Arial"/>
          <w:bCs/>
          <w:sz w:val="20"/>
          <w:szCs w:val="20"/>
        </w:rPr>
      </w:pPr>
    </w:p>
    <w:p w14:paraId="5FA982A6" w14:textId="3C0FA2A3" w:rsidR="003663D2" w:rsidRPr="00B37DC7" w:rsidRDefault="003663D2" w:rsidP="00BE2CFC">
      <w:pPr>
        <w:pStyle w:val="Prrafodelista"/>
        <w:numPr>
          <w:ilvl w:val="0"/>
          <w:numId w:val="1"/>
        </w:numPr>
        <w:ind w:left="851" w:hanging="851"/>
        <w:jc w:val="both"/>
        <w:rPr>
          <w:rFonts w:ascii="Arial" w:hAnsi="Arial" w:cs="Arial"/>
          <w:b/>
          <w:sz w:val="20"/>
          <w:szCs w:val="20"/>
        </w:rPr>
      </w:pPr>
      <w:r w:rsidRPr="00B37DC7">
        <w:rPr>
          <w:rFonts w:ascii="Arial" w:hAnsi="Arial" w:cs="Arial"/>
          <w:b/>
          <w:sz w:val="20"/>
          <w:szCs w:val="20"/>
        </w:rPr>
        <w:t>Introducción</w:t>
      </w:r>
    </w:p>
    <w:p w14:paraId="050601A2" w14:textId="77777777" w:rsidR="003663D2" w:rsidRPr="00A86858" w:rsidRDefault="003663D2" w:rsidP="003663D2">
      <w:pPr>
        <w:jc w:val="both"/>
        <w:rPr>
          <w:rFonts w:ascii="Arial" w:hAnsi="Arial" w:cs="Arial"/>
          <w:b/>
          <w:sz w:val="20"/>
          <w:szCs w:val="20"/>
        </w:rPr>
      </w:pPr>
    </w:p>
    <w:p w14:paraId="5E914B4D" w14:textId="2CA9009A" w:rsidR="000F5ED3" w:rsidRDefault="00370722" w:rsidP="000F5ED3">
      <w:pPr>
        <w:jc w:val="both"/>
        <w:rPr>
          <w:rFonts w:ascii="Arial" w:hAnsi="Arial" w:cs="Arial"/>
          <w:bCs/>
          <w:sz w:val="20"/>
          <w:szCs w:val="20"/>
          <w:lang w:val="es-CO"/>
        </w:rPr>
      </w:pPr>
      <w:r w:rsidRPr="00A86858">
        <w:rPr>
          <w:rFonts w:ascii="Arial" w:hAnsi="Arial" w:cs="Arial"/>
          <w:bCs/>
          <w:sz w:val="20"/>
          <w:szCs w:val="20"/>
          <w:lang w:val="es-CO"/>
        </w:rPr>
        <w:t>E</w:t>
      </w:r>
      <w:r>
        <w:rPr>
          <w:rFonts w:ascii="Arial" w:hAnsi="Arial" w:cs="Arial"/>
          <w:bCs/>
          <w:sz w:val="20"/>
          <w:szCs w:val="20"/>
          <w:lang w:val="es-CO"/>
        </w:rPr>
        <w:t>l presente</w:t>
      </w:r>
      <w:r w:rsidRPr="00A86858">
        <w:rPr>
          <w:rFonts w:ascii="Arial" w:hAnsi="Arial" w:cs="Arial"/>
          <w:bCs/>
          <w:sz w:val="20"/>
          <w:szCs w:val="20"/>
          <w:lang w:val="es-CO"/>
        </w:rPr>
        <w:t xml:space="preserve"> </w:t>
      </w:r>
      <w:r>
        <w:rPr>
          <w:rFonts w:ascii="Arial" w:hAnsi="Arial" w:cs="Arial"/>
          <w:bCs/>
          <w:sz w:val="20"/>
          <w:szCs w:val="20"/>
          <w:lang w:val="es-CO"/>
        </w:rPr>
        <w:t>capítulo</w:t>
      </w:r>
      <w:r w:rsidRPr="00A86858">
        <w:rPr>
          <w:rFonts w:ascii="Arial" w:hAnsi="Arial" w:cs="Arial"/>
          <w:bCs/>
          <w:sz w:val="20"/>
          <w:szCs w:val="20"/>
          <w:lang w:val="es-CO"/>
        </w:rPr>
        <w:t xml:space="preserve"> establece </w:t>
      </w:r>
      <w:r>
        <w:rPr>
          <w:rFonts w:ascii="Arial" w:hAnsi="Arial" w:cs="Arial"/>
          <w:bCs/>
          <w:sz w:val="20"/>
          <w:szCs w:val="20"/>
          <w:lang w:val="es-CO"/>
        </w:rPr>
        <w:t>las instrucciones</w:t>
      </w:r>
      <w:r w:rsidRPr="00A86858">
        <w:rPr>
          <w:rFonts w:ascii="Arial" w:hAnsi="Arial" w:cs="Arial"/>
          <w:bCs/>
          <w:sz w:val="20"/>
          <w:szCs w:val="20"/>
          <w:lang w:val="es-CO"/>
        </w:rPr>
        <w:t xml:space="preserve"> para </w:t>
      </w:r>
      <w:r w:rsidR="005E16D5">
        <w:rPr>
          <w:rFonts w:ascii="Arial" w:hAnsi="Arial" w:cs="Arial"/>
          <w:bCs/>
          <w:sz w:val="20"/>
          <w:szCs w:val="20"/>
          <w:lang w:val="es-CO"/>
        </w:rPr>
        <w:t>el</w:t>
      </w:r>
      <w:r w:rsidR="0058559C">
        <w:rPr>
          <w:rFonts w:ascii="Arial" w:hAnsi="Arial" w:cs="Arial"/>
          <w:bCs/>
          <w:sz w:val="20"/>
          <w:szCs w:val="20"/>
          <w:lang w:val="es-CO"/>
        </w:rPr>
        <w:t xml:space="preserve"> cálculo </w:t>
      </w:r>
      <w:r w:rsidR="00294A2E">
        <w:rPr>
          <w:rFonts w:ascii="Arial" w:hAnsi="Arial" w:cs="Arial"/>
          <w:bCs/>
          <w:sz w:val="20"/>
          <w:szCs w:val="20"/>
          <w:lang w:val="es-CO"/>
        </w:rPr>
        <w:t>de las reservas técnicas que deben constitui</w:t>
      </w:r>
      <w:r w:rsidR="00D32C13">
        <w:rPr>
          <w:rFonts w:ascii="Arial" w:hAnsi="Arial" w:cs="Arial"/>
          <w:bCs/>
          <w:sz w:val="20"/>
          <w:szCs w:val="20"/>
          <w:lang w:val="es-CO"/>
        </w:rPr>
        <w:t>r</w:t>
      </w:r>
      <w:r w:rsidR="00294A2E">
        <w:rPr>
          <w:rFonts w:ascii="Arial" w:hAnsi="Arial" w:cs="Arial"/>
          <w:bCs/>
          <w:sz w:val="20"/>
          <w:szCs w:val="20"/>
          <w:lang w:val="es-CO"/>
        </w:rPr>
        <w:t xml:space="preserve"> las entidades </w:t>
      </w:r>
      <w:r w:rsidR="00D32C13">
        <w:rPr>
          <w:rFonts w:ascii="Arial" w:hAnsi="Arial" w:cs="Arial"/>
          <w:bCs/>
          <w:sz w:val="20"/>
          <w:szCs w:val="20"/>
          <w:lang w:val="es-CO"/>
        </w:rPr>
        <w:t xml:space="preserve">aseguradoras, de </w:t>
      </w:r>
      <w:r w:rsidR="00A7599C">
        <w:rPr>
          <w:rFonts w:ascii="Arial" w:hAnsi="Arial" w:cs="Arial"/>
          <w:bCs/>
          <w:sz w:val="20"/>
          <w:szCs w:val="20"/>
          <w:lang w:val="es-CO"/>
        </w:rPr>
        <w:t>c</w:t>
      </w:r>
      <w:r w:rsidR="000F5ED3">
        <w:rPr>
          <w:rFonts w:ascii="Arial" w:hAnsi="Arial" w:cs="Arial"/>
          <w:bCs/>
          <w:sz w:val="20"/>
          <w:szCs w:val="20"/>
          <w:lang w:val="es-CO"/>
        </w:rPr>
        <w:t xml:space="preserve">onformidad con </w:t>
      </w:r>
      <w:r w:rsidR="005673EA">
        <w:rPr>
          <w:rFonts w:ascii="Arial" w:hAnsi="Arial" w:cs="Arial"/>
          <w:bCs/>
          <w:sz w:val="20"/>
          <w:szCs w:val="20"/>
          <w:lang w:val="es-CO"/>
        </w:rPr>
        <w:t>el artículo 186 del Estatuto Orgánico del Sistema Financiero</w:t>
      </w:r>
      <w:r w:rsidR="00C07514">
        <w:rPr>
          <w:rFonts w:ascii="Arial" w:hAnsi="Arial" w:cs="Arial"/>
          <w:bCs/>
          <w:sz w:val="20"/>
          <w:szCs w:val="20"/>
          <w:lang w:val="es-CO"/>
        </w:rPr>
        <w:t xml:space="preserve"> (EOSF)</w:t>
      </w:r>
      <w:r w:rsidR="00771AB1">
        <w:rPr>
          <w:rFonts w:ascii="Arial" w:hAnsi="Arial" w:cs="Arial"/>
          <w:bCs/>
          <w:sz w:val="20"/>
          <w:szCs w:val="20"/>
          <w:lang w:val="es-CO"/>
        </w:rPr>
        <w:t xml:space="preserve">, </w:t>
      </w:r>
      <w:r w:rsidR="000F5ED3">
        <w:rPr>
          <w:rFonts w:ascii="Arial" w:hAnsi="Arial" w:cs="Arial"/>
          <w:bCs/>
          <w:sz w:val="20"/>
          <w:szCs w:val="20"/>
          <w:lang w:val="es-CO"/>
        </w:rPr>
        <w:t>las disposiciones del Decreto 2555 de 2010, modificado por el Decreto 1272 de 2024</w:t>
      </w:r>
      <w:r w:rsidR="0016658B">
        <w:rPr>
          <w:rFonts w:ascii="Arial" w:hAnsi="Arial" w:cs="Arial"/>
          <w:bCs/>
          <w:sz w:val="20"/>
          <w:szCs w:val="20"/>
          <w:lang w:val="es-CO"/>
        </w:rPr>
        <w:t xml:space="preserve">, y las demás normas </w:t>
      </w:r>
      <w:r w:rsidR="00C07514">
        <w:rPr>
          <w:rFonts w:ascii="Arial" w:hAnsi="Arial" w:cs="Arial"/>
          <w:bCs/>
          <w:sz w:val="20"/>
          <w:szCs w:val="20"/>
          <w:lang w:val="es-CO"/>
        </w:rPr>
        <w:t xml:space="preserve">que lo modifiquen o sustituyan. </w:t>
      </w:r>
    </w:p>
    <w:p w14:paraId="29C00DA7" w14:textId="77777777" w:rsidR="00F21397" w:rsidRPr="00A86858" w:rsidRDefault="00F21397" w:rsidP="000F5ED3">
      <w:pPr>
        <w:jc w:val="both"/>
        <w:rPr>
          <w:rFonts w:ascii="Arial" w:hAnsi="Arial" w:cs="Arial"/>
          <w:bCs/>
          <w:sz w:val="20"/>
          <w:szCs w:val="20"/>
          <w:lang w:val="es-CO"/>
        </w:rPr>
      </w:pPr>
    </w:p>
    <w:p w14:paraId="3E8777EF" w14:textId="7167222B" w:rsidR="000F5ED3" w:rsidRPr="00780E9D" w:rsidRDefault="000F5ED3" w:rsidP="00BE2CFC">
      <w:pPr>
        <w:pStyle w:val="Prrafodelista"/>
        <w:numPr>
          <w:ilvl w:val="0"/>
          <w:numId w:val="1"/>
        </w:numPr>
        <w:ind w:left="851" w:hanging="851"/>
        <w:rPr>
          <w:rFonts w:ascii="Arial" w:hAnsi="Arial" w:cs="Arial"/>
          <w:b/>
          <w:sz w:val="20"/>
          <w:szCs w:val="20"/>
        </w:rPr>
      </w:pPr>
      <w:r w:rsidRPr="00780E9D">
        <w:rPr>
          <w:rFonts w:ascii="Arial" w:hAnsi="Arial" w:cs="Arial"/>
          <w:b/>
          <w:sz w:val="20"/>
          <w:szCs w:val="20"/>
        </w:rPr>
        <w:t>Ámbito de aplicación</w:t>
      </w:r>
    </w:p>
    <w:p w14:paraId="6E10DC38" w14:textId="77777777" w:rsidR="000F5ED3" w:rsidRPr="00C87182" w:rsidRDefault="000F5ED3" w:rsidP="000F5ED3">
      <w:pPr>
        <w:jc w:val="both"/>
        <w:rPr>
          <w:rFonts w:ascii="Arial" w:hAnsi="Arial" w:cs="Arial"/>
          <w:bCs/>
          <w:sz w:val="20"/>
          <w:szCs w:val="20"/>
          <w:lang w:val="es-CO"/>
        </w:rPr>
      </w:pPr>
    </w:p>
    <w:p w14:paraId="17DD4CBA" w14:textId="57769A27" w:rsidR="000F5ED3" w:rsidRDefault="000F5ED3" w:rsidP="000F5ED3">
      <w:pPr>
        <w:jc w:val="both"/>
        <w:rPr>
          <w:rFonts w:ascii="Arial" w:hAnsi="Arial" w:cs="Arial"/>
          <w:bCs/>
          <w:sz w:val="20"/>
          <w:szCs w:val="20"/>
          <w:lang w:val="es-CO"/>
        </w:rPr>
      </w:pPr>
      <w:r w:rsidRPr="00C87182">
        <w:rPr>
          <w:rFonts w:ascii="Arial" w:hAnsi="Arial" w:cs="Arial"/>
          <w:bCs/>
          <w:sz w:val="20"/>
          <w:szCs w:val="20"/>
          <w:lang w:val="es-CO"/>
        </w:rPr>
        <w:t xml:space="preserve">Las instrucciones </w:t>
      </w:r>
      <w:r>
        <w:rPr>
          <w:rFonts w:ascii="Arial" w:hAnsi="Arial" w:cs="Arial"/>
          <w:bCs/>
          <w:sz w:val="20"/>
          <w:szCs w:val="20"/>
          <w:lang w:val="es-CO"/>
        </w:rPr>
        <w:t xml:space="preserve">del presente capítulo </w:t>
      </w:r>
      <w:r w:rsidRPr="00C87182">
        <w:rPr>
          <w:rFonts w:ascii="Arial" w:hAnsi="Arial" w:cs="Arial"/>
          <w:bCs/>
          <w:sz w:val="20"/>
          <w:szCs w:val="20"/>
          <w:lang w:val="es-CO"/>
        </w:rPr>
        <w:t>aplica</w:t>
      </w:r>
      <w:r w:rsidR="00E975AF">
        <w:rPr>
          <w:rFonts w:ascii="Arial" w:hAnsi="Arial" w:cs="Arial"/>
          <w:bCs/>
          <w:sz w:val="20"/>
          <w:szCs w:val="20"/>
          <w:lang w:val="es-CO"/>
        </w:rPr>
        <w:t xml:space="preserve">n </w:t>
      </w:r>
      <w:r w:rsidRPr="00C87182">
        <w:rPr>
          <w:rFonts w:ascii="Arial" w:hAnsi="Arial" w:cs="Arial"/>
          <w:bCs/>
          <w:sz w:val="20"/>
          <w:szCs w:val="20"/>
          <w:lang w:val="es-CO"/>
        </w:rPr>
        <w:t xml:space="preserve">para </w:t>
      </w:r>
      <w:r>
        <w:rPr>
          <w:rFonts w:ascii="Arial" w:hAnsi="Arial" w:cs="Arial"/>
          <w:bCs/>
          <w:sz w:val="20"/>
          <w:szCs w:val="20"/>
          <w:lang w:val="es-CO"/>
        </w:rPr>
        <w:t xml:space="preserve">todas </w:t>
      </w:r>
      <w:r w:rsidRPr="00C87182">
        <w:rPr>
          <w:rFonts w:ascii="Arial" w:hAnsi="Arial" w:cs="Arial"/>
          <w:bCs/>
          <w:sz w:val="20"/>
          <w:szCs w:val="20"/>
          <w:lang w:val="es-CO"/>
        </w:rPr>
        <w:t>las entidades aseguradoras</w:t>
      </w:r>
      <w:r>
        <w:rPr>
          <w:rFonts w:ascii="Arial" w:hAnsi="Arial" w:cs="Arial"/>
          <w:bCs/>
          <w:sz w:val="20"/>
          <w:szCs w:val="20"/>
          <w:lang w:val="es-CO"/>
        </w:rPr>
        <w:t xml:space="preserve"> </w:t>
      </w:r>
      <w:r w:rsidRPr="00C87182">
        <w:rPr>
          <w:rFonts w:ascii="Arial" w:hAnsi="Arial" w:cs="Arial"/>
          <w:bCs/>
          <w:sz w:val="20"/>
          <w:szCs w:val="20"/>
          <w:lang w:val="es-CO"/>
        </w:rPr>
        <w:t>vigiladas</w:t>
      </w:r>
      <w:r>
        <w:rPr>
          <w:rFonts w:ascii="Arial" w:hAnsi="Arial" w:cs="Arial"/>
          <w:bCs/>
          <w:sz w:val="20"/>
          <w:szCs w:val="20"/>
          <w:lang w:val="es-CO"/>
        </w:rPr>
        <w:t xml:space="preserve"> por la </w:t>
      </w:r>
      <w:r w:rsidR="00EA275E">
        <w:rPr>
          <w:rFonts w:ascii="Arial" w:hAnsi="Arial" w:cs="Arial"/>
          <w:bCs/>
          <w:sz w:val="20"/>
          <w:szCs w:val="20"/>
          <w:lang w:val="es-CO"/>
        </w:rPr>
        <w:t>Superintendencia Financiera de Colombia (SFC)</w:t>
      </w:r>
      <w:r w:rsidR="00E1380E">
        <w:rPr>
          <w:rFonts w:ascii="Arial" w:hAnsi="Arial" w:cs="Arial"/>
          <w:bCs/>
          <w:sz w:val="20"/>
          <w:szCs w:val="20"/>
          <w:lang w:val="es-CO"/>
        </w:rPr>
        <w:t>, de acuerdo con los</w:t>
      </w:r>
      <w:r w:rsidR="00A66E0C">
        <w:rPr>
          <w:rFonts w:ascii="Arial" w:hAnsi="Arial" w:cs="Arial"/>
          <w:bCs/>
          <w:sz w:val="20"/>
          <w:szCs w:val="20"/>
          <w:lang w:val="es-CO"/>
        </w:rPr>
        <w:t xml:space="preserve"> </w:t>
      </w:r>
      <w:r w:rsidR="005B72E4">
        <w:rPr>
          <w:rFonts w:ascii="Arial" w:hAnsi="Arial" w:cs="Arial"/>
          <w:bCs/>
          <w:sz w:val="20"/>
          <w:szCs w:val="20"/>
          <w:lang w:val="es-CO"/>
        </w:rPr>
        <w:t xml:space="preserve">ramos </w:t>
      </w:r>
      <w:r w:rsidR="000C77A2">
        <w:rPr>
          <w:rFonts w:ascii="Arial" w:hAnsi="Arial" w:cs="Arial"/>
          <w:bCs/>
          <w:sz w:val="20"/>
          <w:szCs w:val="20"/>
          <w:lang w:val="es-CO"/>
        </w:rPr>
        <w:t xml:space="preserve">autorizados por la </w:t>
      </w:r>
      <w:r w:rsidR="007F6D7C">
        <w:rPr>
          <w:rFonts w:ascii="Arial" w:hAnsi="Arial" w:cs="Arial"/>
          <w:bCs/>
          <w:sz w:val="20"/>
          <w:szCs w:val="20"/>
          <w:lang w:val="es-CO"/>
        </w:rPr>
        <w:t>SFC</w:t>
      </w:r>
      <w:r w:rsidR="000C77A2">
        <w:rPr>
          <w:rFonts w:ascii="Arial" w:hAnsi="Arial" w:cs="Arial"/>
          <w:bCs/>
          <w:sz w:val="20"/>
          <w:szCs w:val="20"/>
          <w:lang w:val="es-CO"/>
        </w:rPr>
        <w:t xml:space="preserve"> a cada entidad. </w:t>
      </w:r>
    </w:p>
    <w:p w14:paraId="525675D3" w14:textId="77777777" w:rsidR="00C90C00" w:rsidRDefault="00C90C00" w:rsidP="000F5ED3">
      <w:pPr>
        <w:jc w:val="both"/>
        <w:rPr>
          <w:rFonts w:ascii="Arial" w:hAnsi="Arial" w:cs="Arial"/>
          <w:bCs/>
          <w:sz w:val="20"/>
          <w:szCs w:val="20"/>
          <w:lang w:val="es-CO"/>
        </w:rPr>
      </w:pPr>
    </w:p>
    <w:p w14:paraId="78BEBC14" w14:textId="6162E2A8" w:rsidR="003B76C1" w:rsidRDefault="003B76C1" w:rsidP="00BE2CFC">
      <w:pPr>
        <w:pStyle w:val="Prrafodelista"/>
        <w:numPr>
          <w:ilvl w:val="0"/>
          <w:numId w:val="1"/>
        </w:numPr>
        <w:ind w:left="851" w:hanging="851"/>
        <w:jc w:val="both"/>
        <w:rPr>
          <w:rFonts w:ascii="Arial" w:hAnsi="Arial" w:cs="Arial"/>
          <w:b/>
          <w:sz w:val="20"/>
          <w:szCs w:val="20"/>
          <w:lang w:val="es-CO"/>
        </w:rPr>
      </w:pPr>
      <w:r>
        <w:rPr>
          <w:rFonts w:ascii="Arial" w:hAnsi="Arial" w:cs="Arial"/>
          <w:b/>
          <w:sz w:val="20"/>
          <w:szCs w:val="20"/>
          <w:lang w:val="es-CO"/>
        </w:rPr>
        <w:t>Mejor estimación de las reservas técnicas</w:t>
      </w:r>
    </w:p>
    <w:p w14:paraId="30CC2A2D" w14:textId="21BEB22D" w:rsidR="00780E9D" w:rsidRDefault="00780E9D" w:rsidP="00666496">
      <w:pPr>
        <w:jc w:val="both"/>
        <w:rPr>
          <w:rFonts w:ascii="Arial" w:hAnsi="Arial" w:cs="Arial"/>
          <w:b/>
          <w:sz w:val="20"/>
          <w:szCs w:val="20"/>
          <w:lang w:val="es-CO"/>
        </w:rPr>
      </w:pPr>
    </w:p>
    <w:p w14:paraId="3FA7265B" w14:textId="0A18A4B5" w:rsidR="00666496" w:rsidRDefault="00666496" w:rsidP="00666496">
      <w:pPr>
        <w:jc w:val="both"/>
        <w:rPr>
          <w:rFonts w:ascii="Arial" w:hAnsi="Arial" w:cs="Arial"/>
          <w:bCs/>
          <w:sz w:val="20"/>
          <w:szCs w:val="20"/>
          <w:lang w:val="es-CO"/>
        </w:rPr>
      </w:pPr>
      <w:r>
        <w:rPr>
          <w:rFonts w:ascii="Arial" w:hAnsi="Arial" w:cs="Arial"/>
          <w:bCs/>
          <w:sz w:val="20"/>
          <w:szCs w:val="20"/>
          <w:lang w:val="es-CO"/>
        </w:rPr>
        <w:t xml:space="preserve">Por regla general, las reservas técnicas </w:t>
      </w:r>
      <w:r w:rsidR="00763D4E">
        <w:rPr>
          <w:rFonts w:ascii="Arial" w:hAnsi="Arial" w:cs="Arial"/>
          <w:bCs/>
          <w:sz w:val="20"/>
          <w:szCs w:val="20"/>
          <w:lang w:val="es-CO"/>
        </w:rPr>
        <w:t xml:space="preserve">de las entidades aseguradoras </w:t>
      </w:r>
      <w:r w:rsidR="007E4F48">
        <w:rPr>
          <w:rFonts w:ascii="Arial" w:hAnsi="Arial" w:cs="Arial"/>
          <w:bCs/>
          <w:sz w:val="20"/>
          <w:szCs w:val="20"/>
          <w:lang w:val="es-CO"/>
        </w:rPr>
        <w:t xml:space="preserve">se deben </w:t>
      </w:r>
      <w:r w:rsidR="00725F50">
        <w:rPr>
          <w:rFonts w:ascii="Arial" w:hAnsi="Arial" w:cs="Arial"/>
          <w:bCs/>
          <w:sz w:val="20"/>
          <w:szCs w:val="20"/>
          <w:lang w:val="es-CO"/>
        </w:rPr>
        <w:t xml:space="preserve">calcular </w:t>
      </w:r>
      <w:r w:rsidR="00C1056F">
        <w:rPr>
          <w:rFonts w:ascii="Arial" w:hAnsi="Arial" w:cs="Arial"/>
          <w:bCs/>
          <w:sz w:val="20"/>
          <w:szCs w:val="20"/>
          <w:lang w:val="es-CO"/>
        </w:rPr>
        <w:t xml:space="preserve">a partir de la mejor estimación </w:t>
      </w:r>
      <w:r w:rsidR="00141160">
        <w:rPr>
          <w:rFonts w:ascii="Arial" w:hAnsi="Arial" w:cs="Arial"/>
          <w:bCs/>
          <w:sz w:val="20"/>
          <w:szCs w:val="20"/>
          <w:lang w:val="es-CO"/>
        </w:rPr>
        <w:t>de las obligaciones futuras</w:t>
      </w:r>
      <w:r w:rsidR="00B43DA8">
        <w:rPr>
          <w:rFonts w:ascii="Arial" w:hAnsi="Arial" w:cs="Arial"/>
          <w:bCs/>
          <w:sz w:val="20"/>
          <w:szCs w:val="20"/>
          <w:lang w:val="es-CO"/>
        </w:rPr>
        <w:t xml:space="preserve">, de acuerdo con </w:t>
      </w:r>
      <w:r w:rsidR="003971E0">
        <w:rPr>
          <w:rFonts w:ascii="Arial" w:hAnsi="Arial" w:cs="Arial"/>
          <w:bCs/>
          <w:sz w:val="20"/>
          <w:szCs w:val="20"/>
          <w:lang w:val="es-CO"/>
        </w:rPr>
        <w:t xml:space="preserve">el artículo 2.31.4.1.4. del Decreto 2555 de 2010 y las instrucciones </w:t>
      </w:r>
      <w:r w:rsidR="00403E0C">
        <w:rPr>
          <w:rFonts w:ascii="Arial" w:hAnsi="Arial" w:cs="Arial"/>
          <w:bCs/>
          <w:sz w:val="20"/>
          <w:szCs w:val="20"/>
          <w:lang w:val="es-CO"/>
        </w:rPr>
        <w:t xml:space="preserve">del presente capítulo. </w:t>
      </w:r>
    </w:p>
    <w:p w14:paraId="5E819F80" w14:textId="77777777" w:rsidR="008B6654" w:rsidRDefault="008B6654" w:rsidP="00666496">
      <w:pPr>
        <w:jc w:val="both"/>
        <w:rPr>
          <w:rFonts w:ascii="Arial" w:hAnsi="Arial" w:cs="Arial"/>
          <w:bCs/>
          <w:sz w:val="20"/>
          <w:szCs w:val="20"/>
          <w:lang w:val="es-CO"/>
        </w:rPr>
      </w:pPr>
    </w:p>
    <w:p w14:paraId="41507E91" w14:textId="06529C77" w:rsidR="00981DF9" w:rsidRDefault="008B6654" w:rsidP="00666496">
      <w:pPr>
        <w:jc w:val="both"/>
        <w:rPr>
          <w:rFonts w:ascii="Arial" w:hAnsi="Arial" w:cs="Arial"/>
          <w:bCs/>
          <w:sz w:val="20"/>
          <w:szCs w:val="20"/>
          <w:lang w:val="es-CO"/>
        </w:rPr>
      </w:pPr>
      <w:r>
        <w:rPr>
          <w:rFonts w:ascii="Arial" w:hAnsi="Arial" w:cs="Arial"/>
          <w:bCs/>
          <w:sz w:val="20"/>
          <w:szCs w:val="20"/>
          <w:lang w:val="es-CO"/>
        </w:rPr>
        <w:t xml:space="preserve">Para establecer la mejor </w:t>
      </w:r>
      <w:r w:rsidR="004A5980">
        <w:rPr>
          <w:rFonts w:ascii="Arial" w:hAnsi="Arial" w:cs="Arial"/>
          <w:bCs/>
          <w:sz w:val="20"/>
          <w:szCs w:val="20"/>
          <w:lang w:val="es-CO"/>
        </w:rPr>
        <w:t xml:space="preserve">estimación de </w:t>
      </w:r>
      <w:r w:rsidR="00714659">
        <w:rPr>
          <w:rFonts w:ascii="Arial" w:hAnsi="Arial" w:cs="Arial"/>
          <w:bCs/>
          <w:sz w:val="20"/>
          <w:szCs w:val="20"/>
          <w:lang w:val="es-CO"/>
        </w:rPr>
        <w:t>sus o</w:t>
      </w:r>
      <w:r w:rsidR="004D0201">
        <w:rPr>
          <w:rFonts w:ascii="Arial" w:hAnsi="Arial" w:cs="Arial"/>
          <w:bCs/>
          <w:sz w:val="20"/>
          <w:szCs w:val="20"/>
          <w:lang w:val="es-CO"/>
        </w:rPr>
        <w:t xml:space="preserve">bligaciones </w:t>
      </w:r>
      <w:r w:rsidR="00D01FF0">
        <w:rPr>
          <w:rFonts w:ascii="Arial" w:hAnsi="Arial" w:cs="Arial"/>
          <w:bCs/>
          <w:sz w:val="20"/>
          <w:szCs w:val="20"/>
          <w:lang w:val="es-CO"/>
        </w:rPr>
        <w:t xml:space="preserve">futuras, las entidades aseguradoras deben </w:t>
      </w:r>
      <w:r w:rsidR="00FE0BC2">
        <w:rPr>
          <w:rFonts w:ascii="Arial" w:hAnsi="Arial" w:cs="Arial"/>
          <w:bCs/>
          <w:sz w:val="20"/>
          <w:szCs w:val="20"/>
          <w:lang w:val="es-CO"/>
        </w:rPr>
        <w:t>tener en cuenta los siguientes lineamientos</w:t>
      </w:r>
      <w:r w:rsidR="004026DD">
        <w:rPr>
          <w:rFonts w:ascii="Arial" w:hAnsi="Arial" w:cs="Arial"/>
          <w:bCs/>
          <w:sz w:val="20"/>
          <w:szCs w:val="20"/>
          <w:lang w:val="es-CO"/>
        </w:rPr>
        <w:t>:</w:t>
      </w:r>
    </w:p>
    <w:p w14:paraId="42F42DDE" w14:textId="77777777" w:rsidR="004026DD" w:rsidRDefault="004026DD" w:rsidP="00666496">
      <w:pPr>
        <w:jc w:val="both"/>
        <w:rPr>
          <w:rFonts w:ascii="Arial" w:hAnsi="Arial" w:cs="Arial"/>
          <w:bCs/>
          <w:sz w:val="20"/>
          <w:szCs w:val="20"/>
          <w:lang w:val="es-CO"/>
        </w:rPr>
      </w:pPr>
    </w:p>
    <w:p w14:paraId="5FA4AE47" w14:textId="6E3C0884" w:rsidR="003056C9" w:rsidRDefault="004026DD" w:rsidP="003E267E">
      <w:pPr>
        <w:pStyle w:val="Prrafodelista"/>
        <w:numPr>
          <w:ilvl w:val="0"/>
          <w:numId w:val="2"/>
        </w:numPr>
        <w:ind w:left="567" w:hanging="567"/>
        <w:jc w:val="both"/>
        <w:rPr>
          <w:rFonts w:ascii="Arial" w:hAnsi="Arial" w:cs="Arial"/>
          <w:bCs/>
          <w:sz w:val="20"/>
          <w:szCs w:val="20"/>
          <w:lang w:val="es-CO"/>
        </w:rPr>
      </w:pPr>
      <w:r>
        <w:rPr>
          <w:rFonts w:ascii="Arial" w:hAnsi="Arial" w:cs="Arial"/>
          <w:bCs/>
          <w:sz w:val="20"/>
          <w:szCs w:val="20"/>
          <w:lang w:val="es-CO"/>
        </w:rPr>
        <w:t xml:space="preserve">Establecer los </w:t>
      </w:r>
      <w:r w:rsidRPr="004D1D16">
        <w:rPr>
          <w:rFonts w:ascii="Arial" w:hAnsi="Arial" w:cs="Arial"/>
          <w:bCs/>
          <w:sz w:val="20"/>
          <w:szCs w:val="20"/>
          <w:lang w:val="es-CO"/>
        </w:rPr>
        <w:t xml:space="preserve">flujos </w:t>
      </w:r>
      <w:r w:rsidR="00B66689" w:rsidRPr="004D1D16">
        <w:rPr>
          <w:rFonts w:ascii="Arial" w:hAnsi="Arial" w:cs="Arial"/>
          <w:bCs/>
          <w:sz w:val="20"/>
          <w:szCs w:val="20"/>
          <w:lang w:val="es-CO"/>
        </w:rPr>
        <w:t>futuros</w:t>
      </w:r>
      <w:r w:rsidR="005668AA" w:rsidRPr="004D1D16">
        <w:rPr>
          <w:rFonts w:ascii="Arial" w:hAnsi="Arial" w:cs="Arial"/>
          <w:bCs/>
          <w:sz w:val="20"/>
          <w:szCs w:val="20"/>
          <w:lang w:val="es-CO"/>
        </w:rPr>
        <w:t xml:space="preserve"> de efectivo</w:t>
      </w:r>
      <w:r w:rsidRPr="003A1851">
        <w:rPr>
          <w:rFonts w:ascii="Arial" w:hAnsi="Arial" w:cs="Arial"/>
          <w:bCs/>
          <w:sz w:val="20"/>
          <w:szCs w:val="20"/>
          <w:lang w:val="es-CO"/>
        </w:rPr>
        <w:t>:</w:t>
      </w:r>
      <w:r>
        <w:rPr>
          <w:rFonts w:ascii="Arial" w:hAnsi="Arial" w:cs="Arial"/>
          <w:bCs/>
          <w:sz w:val="20"/>
          <w:szCs w:val="20"/>
          <w:lang w:val="es-CO"/>
        </w:rPr>
        <w:t xml:space="preserve"> se deben </w:t>
      </w:r>
      <w:r w:rsidR="00D01FF0" w:rsidRPr="004026DD">
        <w:rPr>
          <w:rFonts w:ascii="Arial" w:hAnsi="Arial" w:cs="Arial"/>
          <w:bCs/>
          <w:sz w:val="20"/>
          <w:szCs w:val="20"/>
          <w:lang w:val="es-CO"/>
        </w:rPr>
        <w:t xml:space="preserve">mapear </w:t>
      </w:r>
      <w:r w:rsidR="00743FF3" w:rsidRPr="004026DD">
        <w:rPr>
          <w:rFonts w:ascii="Arial" w:hAnsi="Arial" w:cs="Arial"/>
          <w:bCs/>
          <w:sz w:val="20"/>
          <w:szCs w:val="20"/>
          <w:lang w:val="es-CO"/>
        </w:rPr>
        <w:t xml:space="preserve">todos los flujos </w:t>
      </w:r>
      <w:r w:rsidR="005E610C" w:rsidRPr="004026DD">
        <w:rPr>
          <w:rFonts w:ascii="Arial" w:hAnsi="Arial" w:cs="Arial"/>
          <w:bCs/>
          <w:sz w:val="20"/>
          <w:szCs w:val="20"/>
          <w:lang w:val="es-CO"/>
        </w:rPr>
        <w:t>de ingresos</w:t>
      </w:r>
      <w:r w:rsidR="006F39F4" w:rsidRPr="004026DD">
        <w:rPr>
          <w:rFonts w:ascii="Arial" w:hAnsi="Arial" w:cs="Arial"/>
          <w:bCs/>
          <w:sz w:val="20"/>
          <w:szCs w:val="20"/>
          <w:lang w:val="es-CO"/>
        </w:rPr>
        <w:t xml:space="preserve">, </w:t>
      </w:r>
      <w:r w:rsidR="005E610C" w:rsidRPr="004026DD">
        <w:rPr>
          <w:rFonts w:ascii="Arial" w:hAnsi="Arial" w:cs="Arial"/>
          <w:bCs/>
          <w:sz w:val="20"/>
          <w:szCs w:val="20"/>
          <w:lang w:val="es-CO"/>
        </w:rPr>
        <w:t>egresos</w:t>
      </w:r>
      <w:r w:rsidR="00743FF3" w:rsidRPr="004026DD">
        <w:rPr>
          <w:rFonts w:ascii="Arial" w:hAnsi="Arial" w:cs="Arial"/>
          <w:bCs/>
          <w:sz w:val="20"/>
          <w:szCs w:val="20"/>
          <w:lang w:val="es-CO"/>
        </w:rPr>
        <w:t xml:space="preserve"> </w:t>
      </w:r>
      <w:r w:rsidR="006F39F4" w:rsidRPr="004026DD">
        <w:rPr>
          <w:rFonts w:ascii="Arial" w:hAnsi="Arial" w:cs="Arial"/>
          <w:bCs/>
          <w:sz w:val="20"/>
          <w:szCs w:val="20"/>
          <w:lang w:val="es-CO"/>
        </w:rPr>
        <w:t>y demás flujos de efectivo</w:t>
      </w:r>
      <w:r w:rsidR="00101438">
        <w:rPr>
          <w:rFonts w:ascii="Arial" w:hAnsi="Arial" w:cs="Arial"/>
          <w:bCs/>
          <w:sz w:val="20"/>
          <w:szCs w:val="20"/>
          <w:lang w:val="es-CO"/>
        </w:rPr>
        <w:t xml:space="preserve"> </w:t>
      </w:r>
      <w:r w:rsidR="001B61DC" w:rsidRPr="001B61DC">
        <w:rPr>
          <w:rFonts w:ascii="Arial" w:hAnsi="Arial" w:cs="Arial"/>
          <w:bCs/>
          <w:sz w:val="20"/>
          <w:szCs w:val="20"/>
        </w:rPr>
        <w:t>que se relacionen directamente con el cumplimiento de</w:t>
      </w:r>
      <w:r w:rsidR="00C515FA">
        <w:rPr>
          <w:rFonts w:ascii="Arial" w:hAnsi="Arial" w:cs="Arial"/>
          <w:bCs/>
          <w:sz w:val="20"/>
          <w:szCs w:val="20"/>
        </w:rPr>
        <w:t xml:space="preserve"> los</w:t>
      </w:r>
      <w:r w:rsidR="001B61DC" w:rsidRPr="001B61DC">
        <w:rPr>
          <w:rFonts w:ascii="Arial" w:hAnsi="Arial" w:cs="Arial"/>
          <w:bCs/>
          <w:sz w:val="20"/>
          <w:szCs w:val="20"/>
        </w:rPr>
        <w:t xml:space="preserve"> contrato</w:t>
      </w:r>
      <w:r w:rsidR="00A62B4B">
        <w:rPr>
          <w:rFonts w:ascii="Arial" w:hAnsi="Arial" w:cs="Arial"/>
          <w:bCs/>
          <w:sz w:val="20"/>
          <w:szCs w:val="20"/>
        </w:rPr>
        <w:t>s</w:t>
      </w:r>
      <w:r w:rsidR="001B61DC" w:rsidRPr="001B61DC">
        <w:rPr>
          <w:rFonts w:ascii="Arial" w:hAnsi="Arial" w:cs="Arial"/>
          <w:bCs/>
          <w:sz w:val="20"/>
          <w:szCs w:val="20"/>
        </w:rPr>
        <w:t xml:space="preserve"> de seguro</w:t>
      </w:r>
      <w:r w:rsidR="00F116C2">
        <w:rPr>
          <w:rFonts w:ascii="Arial" w:hAnsi="Arial" w:cs="Arial"/>
          <w:bCs/>
          <w:sz w:val="20"/>
          <w:szCs w:val="20"/>
        </w:rPr>
        <w:t>, siempre</w:t>
      </w:r>
      <w:r w:rsidR="00A62B4B">
        <w:rPr>
          <w:rFonts w:ascii="Arial" w:hAnsi="Arial" w:cs="Arial"/>
          <w:bCs/>
          <w:sz w:val="20"/>
          <w:szCs w:val="20"/>
        </w:rPr>
        <w:t xml:space="preserve"> que hagan parte de los límites de </w:t>
      </w:r>
      <w:r w:rsidR="001F5E6F">
        <w:rPr>
          <w:rFonts w:ascii="Arial" w:hAnsi="Arial" w:cs="Arial"/>
          <w:bCs/>
          <w:sz w:val="20"/>
          <w:szCs w:val="20"/>
        </w:rPr>
        <w:t>cada</w:t>
      </w:r>
      <w:r w:rsidR="00A62B4B">
        <w:rPr>
          <w:rFonts w:ascii="Arial" w:hAnsi="Arial" w:cs="Arial"/>
          <w:bCs/>
          <w:sz w:val="20"/>
          <w:szCs w:val="20"/>
        </w:rPr>
        <w:t xml:space="preserve"> contrato</w:t>
      </w:r>
      <w:r w:rsidR="00F116C2">
        <w:rPr>
          <w:rFonts w:ascii="Arial" w:hAnsi="Arial" w:cs="Arial"/>
          <w:bCs/>
          <w:sz w:val="20"/>
          <w:szCs w:val="20"/>
        </w:rPr>
        <w:t xml:space="preserve"> de acuerdo con los </w:t>
      </w:r>
      <w:r w:rsidR="00F116C2" w:rsidRPr="00FE44A1">
        <w:rPr>
          <w:rFonts w:ascii="Arial" w:hAnsi="Arial" w:cs="Arial"/>
          <w:bCs/>
          <w:sz w:val="20"/>
          <w:szCs w:val="20"/>
          <w:lang w:val="es-CO"/>
        </w:rPr>
        <w:t xml:space="preserve">marcos técnicos normativos de información financiera </w:t>
      </w:r>
      <w:r w:rsidR="00F116C2">
        <w:rPr>
          <w:rFonts w:ascii="Arial" w:hAnsi="Arial" w:cs="Arial"/>
          <w:bCs/>
          <w:sz w:val="20"/>
          <w:szCs w:val="20"/>
          <w:lang w:val="es-CO"/>
        </w:rPr>
        <w:t xml:space="preserve">adoptados en el Decreto 2420 de 2015. </w:t>
      </w:r>
    </w:p>
    <w:p w14:paraId="6E36461A" w14:textId="77777777" w:rsidR="003056C9" w:rsidRDefault="003056C9" w:rsidP="003056C9">
      <w:pPr>
        <w:jc w:val="both"/>
        <w:rPr>
          <w:rFonts w:ascii="Arial" w:hAnsi="Arial" w:cs="Arial"/>
          <w:bCs/>
          <w:sz w:val="20"/>
          <w:szCs w:val="20"/>
          <w:lang w:val="es-CO"/>
        </w:rPr>
      </w:pPr>
    </w:p>
    <w:p w14:paraId="2E38F619" w14:textId="073D4C8E" w:rsidR="00A62B4B" w:rsidRDefault="003056C9" w:rsidP="00BE2CFC">
      <w:pPr>
        <w:pStyle w:val="Prrafodelista"/>
        <w:numPr>
          <w:ilvl w:val="0"/>
          <w:numId w:val="3"/>
        </w:numPr>
        <w:ind w:left="1134" w:hanging="567"/>
        <w:jc w:val="both"/>
        <w:rPr>
          <w:rFonts w:ascii="Arial" w:hAnsi="Arial" w:cs="Arial"/>
          <w:bCs/>
          <w:sz w:val="20"/>
          <w:szCs w:val="20"/>
          <w:lang w:val="es-CO"/>
        </w:rPr>
      </w:pPr>
      <w:r>
        <w:rPr>
          <w:rFonts w:ascii="Arial" w:hAnsi="Arial" w:cs="Arial"/>
          <w:bCs/>
          <w:sz w:val="20"/>
          <w:szCs w:val="20"/>
          <w:lang w:val="es-CO"/>
        </w:rPr>
        <w:t>De acuerdo</w:t>
      </w:r>
      <w:r w:rsidR="007E73EB">
        <w:rPr>
          <w:rFonts w:ascii="Arial" w:hAnsi="Arial" w:cs="Arial"/>
          <w:bCs/>
          <w:sz w:val="20"/>
          <w:szCs w:val="20"/>
          <w:lang w:val="es-CO"/>
        </w:rPr>
        <w:t xml:space="preserve"> con</w:t>
      </w:r>
      <w:r>
        <w:rPr>
          <w:rFonts w:ascii="Arial" w:hAnsi="Arial" w:cs="Arial"/>
          <w:bCs/>
          <w:sz w:val="20"/>
          <w:szCs w:val="20"/>
          <w:lang w:val="es-CO"/>
        </w:rPr>
        <w:t xml:space="preserve"> </w:t>
      </w:r>
      <w:r w:rsidR="00AE3962">
        <w:rPr>
          <w:rFonts w:ascii="Arial" w:hAnsi="Arial" w:cs="Arial"/>
          <w:bCs/>
          <w:sz w:val="20"/>
          <w:szCs w:val="20"/>
          <w:lang w:val="es-CO"/>
        </w:rPr>
        <w:t xml:space="preserve">el </w:t>
      </w:r>
      <w:r w:rsidR="000B5271">
        <w:rPr>
          <w:rFonts w:ascii="Arial" w:hAnsi="Arial" w:cs="Arial"/>
          <w:bCs/>
          <w:sz w:val="20"/>
          <w:szCs w:val="20"/>
          <w:lang w:val="es-CO"/>
        </w:rPr>
        <w:t xml:space="preserve">numeral </w:t>
      </w:r>
      <w:r w:rsidR="000B5271" w:rsidRPr="004026DD">
        <w:rPr>
          <w:rFonts w:ascii="Arial" w:hAnsi="Arial" w:cs="Arial"/>
          <w:bCs/>
          <w:sz w:val="20"/>
          <w:szCs w:val="20"/>
          <w:lang w:val="es-CO"/>
        </w:rPr>
        <w:t>3 del artículo 2.31.4.1.4. del Decreto 2555 de 2010</w:t>
      </w:r>
      <w:r w:rsidR="000B5271">
        <w:rPr>
          <w:rFonts w:ascii="Arial" w:hAnsi="Arial" w:cs="Arial"/>
          <w:bCs/>
          <w:sz w:val="20"/>
          <w:szCs w:val="20"/>
          <w:lang w:val="es-CO"/>
        </w:rPr>
        <w:t>, l</w:t>
      </w:r>
      <w:r>
        <w:rPr>
          <w:rFonts w:ascii="Arial" w:hAnsi="Arial" w:cs="Arial"/>
          <w:bCs/>
          <w:sz w:val="20"/>
          <w:szCs w:val="20"/>
          <w:lang w:val="es-CO"/>
        </w:rPr>
        <w:t xml:space="preserve">os flujos </w:t>
      </w:r>
      <w:r w:rsidR="008002D2">
        <w:rPr>
          <w:rFonts w:ascii="Arial" w:hAnsi="Arial" w:cs="Arial"/>
          <w:bCs/>
          <w:sz w:val="20"/>
          <w:szCs w:val="20"/>
          <w:lang w:val="es-CO"/>
        </w:rPr>
        <w:t xml:space="preserve">de ingresos y </w:t>
      </w:r>
      <w:r w:rsidR="008002D2" w:rsidRPr="003A1851">
        <w:rPr>
          <w:rFonts w:ascii="Arial" w:hAnsi="Arial" w:cs="Arial"/>
          <w:bCs/>
          <w:sz w:val="20"/>
          <w:szCs w:val="20"/>
          <w:lang w:val="es-CO"/>
        </w:rPr>
        <w:t xml:space="preserve">egresos </w:t>
      </w:r>
      <w:r w:rsidRPr="003A1851">
        <w:rPr>
          <w:rFonts w:ascii="Arial" w:hAnsi="Arial" w:cs="Arial"/>
          <w:bCs/>
          <w:sz w:val="20"/>
          <w:szCs w:val="20"/>
          <w:lang w:val="es-CO"/>
        </w:rPr>
        <w:t>se deben estimar póliza a póliza</w:t>
      </w:r>
      <w:r w:rsidR="00F723BD" w:rsidRPr="004D1D16">
        <w:rPr>
          <w:rFonts w:ascii="Arial" w:hAnsi="Arial" w:cs="Arial"/>
          <w:bCs/>
          <w:sz w:val="20"/>
          <w:szCs w:val="20"/>
          <w:lang w:val="es-CO"/>
        </w:rPr>
        <w:t>, cuando corresponda</w:t>
      </w:r>
      <w:r w:rsidR="000B5271" w:rsidRPr="003A1851">
        <w:rPr>
          <w:rFonts w:ascii="Arial" w:hAnsi="Arial" w:cs="Arial"/>
          <w:bCs/>
          <w:sz w:val="20"/>
          <w:szCs w:val="20"/>
          <w:lang w:val="es-CO"/>
        </w:rPr>
        <w:t>.</w:t>
      </w:r>
      <w:r w:rsidR="000B5271">
        <w:rPr>
          <w:rFonts w:ascii="Arial" w:hAnsi="Arial" w:cs="Arial"/>
          <w:bCs/>
          <w:sz w:val="20"/>
          <w:szCs w:val="20"/>
          <w:lang w:val="es-CO"/>
        </w:rPr>
        <w:t xml:space="preserve"> De forma excepcional, la estimación de flujos </w:t>
      </w:r>
      <w:r w:rsidR="003C02AC">
        <w:rPr>
          <w:rFonts w:ascii="Arial" w:hAnsi="Arial" w:cs="Arial"/>
          <w:bCs/>
          <w:sz w:val="20"/>
          <w:szCs w:val="20"/>
          <w:lang w:val="es-CO"/>
        </w:rPr>
        <w:t>se</w:t>
      </w:r>
      <w:r w:rsidR="000B5271">
        <w:rPr>
          <w:rFonts w:ascii="Arial" w:hAnsi="Arial" w:cs="Arial"/>
          <w:bCs/>
          <w:sz w:val="20"/>
          <w:szCs w:val="20"/>
          <w:lang w:val="es-CO"/>
        </w:rPr>
        <w:t xml:space="preserve"> p</w:t>
      </w:r>
      <w:r w:rsidR="00AB2AAD">
        <w:rPr>
          <w:rFonts w:ascii="Arial" w:hAnsi="Arial" w:cs="Arial"/>
          <w:bCs/>
          <w:sz w:val="20"/>
          <w:szCs w:val="20"/>
          <w:lang w:val="es-CO"/>
        </w:rPr>
        <w:t>odrá</w:t>
      </w:r>
      <w:r w:rsidR="000B5271">
        <w:rPr>
          <w:rFonts w:ascii="Arial" w:hAnsi="Arial" w:cs="Arial"/>
          <w:bCs/>
          <w:sz w:val="20"/>
          <w:szCs w:val="20"/>
          <w:lang w:val="es-CO"/>
        </w:rPr>
        <w:t xml:space="preserve"> realizar de forma agregada </w:t>
      </w:r>
      <w:r w:rsidR="00421AB2">
        <w:rPr>
          <w:rFonts w:ascii="Arial" w:hAnsi="Arial" w:cs="Arial"/>
          <w:bCs/>
          <w:sz w:val="20"/>
          <w:szCs w:val="20"/>
          <w:lang w:val="es-CO"/>
        </w:rPr>
        <w:t xml:space="preserve">a partir de los ramos definidos en el </w:t>
      </w:r>
      <w:r w:rsidR="00D43384">
        <w:rPr>
          <w:rFonts w:ascii="Arial" w:hAnsi="Arial" w:cs="Arial"/>
          <w:bCs/>
          <w:sz w:val="20"/>
          <w:szCs w:val="20"/>
          <w:lang w:val="es-CO"/>
        </w:rPr>
        <w:t>numeral 1.1. del c</w:t>
      </w:r>
      <w:r w:rsidR="00421AB2">
        <w:rPr>
          <w:rFonts w:ascii="Arial" w:hAnsi="Arial" w:cs="Arial"/>
          <w:bCs/>
          <w:sz w:val="20"/>
          <w:szCs w:val="20"/>
          <w:lang w:val="es-CO"/>
        </w:rPr>
        <w:t xml:space="preserve">apítulo </w:t>
      </w:r>
      <w:r w:rsidR="00D43384">
        <w:rPr>
          <w:rFonts w:ascii="Arial" w:hAnsi="Arial" w:cs="Arial"/>
          <w:bCs/>
          <w:sz w:val="20"/>
          <w:szCs w:val="20"/>
          <w:lang w:val="es-CO"/>
        </w:rPr>
        <w:t>II del título IV de la parte II de la Circular Básica Jurídica (CBJ)</w:t>
      </w:r>
      <w:r w:rsidR="00AB2AAD">
        <w:rPr>
          <w:rFonts w:ascii="Arial" w:hAnsi="Arial" w:cs="Arial"/>
          <w:bCs/>
          <w:sz w:val="20"/>
          <w:szCs w:val="20"/>
          <w:lang w:val="es-CO"/>
        </w:rPr>
        <w:t xml:space="preserve">, siempre que </w:t>
      </w:r>
      <w:r w:rsidR="00EA201A">
        <w:rPr>
          <w:rFonts w:ascii="Arial" w:hAnsi="Arial" w:cs="Arial"/>
          <w:bCs/>
          <w:sz w:val="20"/>
          <w:szCs w:val="20"/>
          <w:lang w:val="es-CO"/>
        </w:rPr>
        <w:t>la entidad demuestre que los riesgos subyacentes a todas las pólizas del ramo son similares</w:t>
      </w:r>
      <w:r w:rsidR="0035249B">
        <w:rPr>
          <w:rFonts w:ascii="Arial" w:hAnsi="Arial" w:cs="Arial"/>
          <w:bCs/>
          <w:sz w:val="20"/>
          <w:szCs w:val="20"/>
          <w:lang w:val="es-CO"/>
        </w:rPr>
        <w:t xml:space="preserve"> y se gestionan de forma conjunta</w:t>
      </w:r>
      <w:r w:rsidR="00EA201A">
        <w:rPr>
          <w:rFonts w:ascii="Arial" w:hAnsi="Arial" w:cs="Arial"/>
          <w:bCs/>
          <w:sz w:val="20"/>
          <w:szCs w:val="20"/>
          <w:lang w:val="es-CO"/>
        </w:rPr>
        <w:t xml:space="preserve">. </w:t>
      </w:r>
      <w:r w:rsidR="009F19E5">
        <w:rPr>
          <w:rFonts w:ascii="Arial" w:hAnsi="Arial" w:cs="Arial"/>
          <w:bCs/>
          <w:sz w:val="20"/>
          <w:szCs w:val="20"/>
          <w:lang w:val="es-CO"/>
        </w:rPr>
        <w:t xml:space="preserve">Para estos efectos, la entidad deberá preparar un </w:t>
      </w:r>
      <w:r w:rsidR="006C3A7D">
        <w:rPr>
          <w:rFonts w:ascii="Arial" w:hAnsi="Arial" w:cs="Arial"/>
          <w:bCs/>
          <w:sz w:val="20"/>
          <w:szCs w:val="20"/>
          <w:lang w:val="es-CO"/>
        </w:rPr>
        <w:t xml:space="preserve">análisis </w:t>
      </w:r>
      <w:r w:rsidR="002C788B" w:rsidRPr="002C788B">
        <w:rPr>
          <w:rFonts w:ascii="Arial" w:hAnsi="Arial" w:cs="Arial"/>
          <w:bCs/>
          <w:sz w:val="20"/>
          <w:szCs w:val="20"/>
          <w:lang w:val="es-CO"/>
        </w:rPr>
        <w:t xml:space="preserve">que demuestre que son similares los riesgos de las pólizas </w:t>
      </w:r>
      <w:r w:rsidR="00DB6E4A">
        <w:rPr>
          <w:rFonts w:ascii="Arial" w:hAnsi="Arial" w:cs="Arial"/>
          <w:bCs/>
          <w:sz w:val="20"/>
          <w:szCs w:val="20"/>
          <w:lang w:val="es-CO"/>
        </w:rPr>
        <w:t>que se agrupan en un mismo ramo</w:t>
      </w:r>
      <w:r w:rsidR="00C32911">
        <w:rPr>
          <w:rFonts w:ascii="Arial" w:hAnsi="Arial" w:cs="Arial"/>
          <w:bCs/>
          <w:sz w:val="20"/>
          <w:szCs w:val="20"/>
          <w:lang w:val="es-CO"/>
        </w:rPr>
        <w:t>,</w:t>
      </w:r>
      <w:r w:rsidR="00DB6E4A">
        <w:rPr>
          <w:rFonts w:ascii="Arial" w:hAnsi="Arial" w:cs="Arial"/>
          <w:bCs/>
          <w:sz w:val="20"/>
          <w:szCs w:val="20"/>
          <w:lang w:val="es-CO"/>
        </w:rPr>
        <w:t xml:space="preserve"> considerando</w:t>
      </w:r>
      <w:r w:rsidR="00D1062A">
        <w:rPr>
          <w:rFonts w:ascii="Arial" w:hAnsi="Arial" w:cs="Arial"/>
          <w:bCs/>
          <w:sz w:val="20"/>
          <w:szCs w:val="20"/>
          <w:lang w:val="es-CO"/>
        </w:rPr>
        <w:t>, como mínimo</w:t>
      </w:r>
      <w:r w:rsidR="00DB6E4A">
        <w:rPr>
          <w:rFonts w:ascii="Arial" w:hAnsi="Arial" w:cs="Arial"/>
          <w:bCs/>
          <w:sz w:val="20"/>
          <w:szCs w:val="20"/>
          <w:lang w:val="es-CO"/>
        </w:rPr>
        <w:t xml:space="preserve">: </w:t>
      </w:r>
      <w:r w:rsidR="0035249B">
        <w:rPr>
          <w:rFonts w:ascii="Arial" w:hAnsi="Arial" w:cs="Arial"/>
          <w:bCs/>
          <w:sz w:val="20"/>
          <w:szCs w:val="20"/>
          <w:lang w:val="es-CO"/>
        </w:rPr>
        <w:t>vigencia</w:t>
      </w:r>
      <w:r w:rsidR="00B71F12">
        <w:rPr>
          <w:rFonts w:ascii="Arial" w:hAnsi="Arial" w:cs="Arial"/>
          <w:bCs/>
          <w:sz w:val="20"/>
          <w:szCs w:val="20"/>
          <w:lang w:val="es-CO"/>
        </w:rPr>
        <w:t>, valor asegurado, frecuencia</w:t>
      </w:r>
      <w:r w:rsidR="0035249B">
        <w:rPr>
          <w:rFonts w:ascii="Arial" w:hAnsi="Arial" w:cs="Arial"/>
          <w:bCs/>
          <w:sz w:val="20"/>
          <w:szCs w:val="20"/>
          <w:lang w:val="es-CO"/>
        </w:rPr>
        <w:t xml:space="preserve"> y severidad</w:t>
      </w:r>
      <w:r w:rsidR="00B71F12">
        <w:rPr>
          <w:rFonts w:ascii="Arial" w:hAnsi="Arial" w:cs="Arial"/>
          <w:bCs/>
          <w:sz w:val="20"/>
          <w:szCs w:val="20"/>
          <w:lang w:val="es-CO"/>
        </w:rPr>
        <w:t xml:space="preserve"> </w:t>
      </w:r>
      <w:r w:rsidR="00A14C03">
        <w:rPr>
          <w:rFonts w:ascii="Arial" w:hAnsi="Arial" w:cs="Arial"/>
          <w:bCs/>
          <w:sz w:val="20"/>
          <w:szCs w:val="20"/>
          <w:lang w:val="es-CO"/>
        </w:rPr>
        <w:t>de siniestros, nivel de siniestralidad</w:t>
      </w:r>
      <w:r w:rsidR="00B572CA">
        <w:rPr>
          <w:rFonts w:ascii="Arial" w:hAnsi="Arial" w:cs="Arial"/>
          <w:bCs/>
          <w:sz w:val="20"/>
          <w:szCs w:val="20"/>
          <w:lang w:val="es-CO"/>
        </w:rPr>
        <w:t xml:space="preserve">, características </w:t>
      </w:r>
      <w:r w:rsidR="00B23DD5">
        <w:rPr>
          <w:rFonts w:ascii="Arial" w:hAnsi="Arial" w:cs="Arial"/>
          <w:bCs/>
          <w:sz w:val="20"/>
          <w:szCs w:val="20"/>
          <w:lang w:val="es-CO"/>
        </w:rPr>
        <w:t>del riesgo asegurado, entre otros. E</w:t>
      </w:r>
      <w:r w:rsidR="00B0504F">
        <w:rPr>
          <w:rFonts w:ascii="Arial" w:hAnsi="Arial" w:cs="Arial"/>
          <w:bCs/>
          <w:sz w:val="20"/>
          <w:szCs w:val="20"/>
          <w:lang w:val="es-CO"/>
        </w:rPr>
        <w:t>l</w:t>
      </w:r>
      <w:r w:rsidR="00B23DD5">
        <w:rPr>
          <w:rFonts w:ascii="Arial" w:hAnsi="Arial" w:cs="Arial"/>
          <w:bCs/>
          <w:sz w:val="20"/>
          <w:szCs w:val="20"/>
          <w:lang w:val="es-CO"/>
        </w:rPr>
        <w:t xml:space="preserve"> análisis</w:t>
      </w:r>
      <w:r w:rsidR="00CB0130">
        <w:rPr>
          <w:rFonts w:ascii="Arial" w:hAnsi="Arial" w:cs="Arial"/>
          <w:bCs/>
          <w:sz w:val="20"/>
          <w:szCs w:val="20"/>
          <w:lang w:val="es-CO"/>
        </w:rPr>
        <w:t xml:space="preserve"> se</w:t>
      </w:r>
      <w:r w:rsidR="00B23DD5">
        <w:rPr>
          <w:rFonts w:ascii="Arial" w:hAnsi="Arial" w:cs="Arial"/>
          <w:bCs/>
          <w:sz w:val="20"/>
          <w:szCs w:val="20"/>
          <w:lang w:val="es-CO"/>
        </w:rPr>
        <w:t xml:space="preserve"> debe </w:t>
      </w:r>
      <w:r w:rsidR="0031441D">
        <w:rPr>
          <w:rFonts w:ascii="Arial" w:hAnsi="Arial" w:cs="Arial"/>
          <w:bCs/>
          <w:sz w:val="20"/>
          <w:szCs w:val="20"/>
          <w:lang w:val="es-CO"/>
        </w:rPr>
        <w:t xml:space="preserve">actualizar </w:t>
      </w:r>
      <w:r w:rsidR="00BD7DE4">
        <w:rPr>
          <w:rFonts w:ascii="Arial" w:hAnsi="Arial" w:cs="Arial"/>
          <w:bCs/>
          <w:sz w:val="20"/>
          <w:szCs w:val="20"/>
          <w:lang w:val="es-CO"/>
        </w:rPr>
        <w:t xml:space="preserve">por lo menos una vez al año, y </w:t>
      </w:r>
      <w:r w:rsidR="003C2203">
        <w:rPr>
          <w:rFonts w:ascii="Arial" w:hAnsi="Arial" w:cs="Arial"/>
          <w:bCs/>
          <w:sz w:val="20"/>
          <w:szCs w:val="20"/>
          <w:lang w:val="es-CO"/>
        </w:rPr>
        <w:t xml:space="preserve">se </w:t>
      </w:r>
      <w:r w:rsidR="00BD7DE4">
        <w:rPr>
          <w:rFonts w:ascii="Arial" w:hAnsi="Arial" w:cs="Arial"/>
          <w:bCs/>
          <w:sz w:val="20"/>
          <w:szCs w:val="20"/>
          <w:lang w:val="es-CO"/>
        </w:rPr>
        <w:t xml:space="preserve">debe </w:t>
      </w:r>
      <w:r w:rsidR="00B23DD5">
        <w:rPr>
          <w:rFonts w:ascii="Arial" w:hAnsi="Arial" w:cs="Arial"/>
          <w:bCs/>
          <w:sz w:val="20"/>
          <w:szCs w:val="20"/>
          <w:lang w:val="es-CO"/>
        </w:rPr>
        <w:t>mantener a disposición de la SFC.</w:t>
      </w:r>
    </w:p>
    <w:p w14:paraId="6CCD8FB6" w14:textId="41526681" w:rsidR="00B0504F" w:rsidRDefault="00B0504F" w:rsidP="00B0504F">
      <w:pPr>
        <w:pStyle w:val="Prrafodelista"/>
        <w:ind w:left="1134"/>
        <w:jc w:val="both"/>
        <w:rPr>
          <w:rFonts w:ascii="Arial" w:hAnsi="Arial" w:cs="Arial"/>
          <w:bCs/>
          <w:sz w:val="20"/>
          <w:szCs w:val="20"/>
          <w:lang w:val="es-CO"/>
        </w:rPr>
      </w:pPr>
    </w:p>
    <w:p w14:paraId="557B8D1E" w14:textId="17C44527" w:rsidR="00B0504F" w:rsidRDefault="00F21DCC" w:rsidP="00BE2CFC">
      <w:pPr>
        <w:pStyle w:val="Prrafodelista"/>
        <w:numPr>
          <w:ilvl w:val="0"/>
          <w:numId w:val="3"/>
        </w:numPr>
        <w:ind w:left="1134" w:hanging="567"/>
        <w:jc w:val="both"/>
        <w:rPr>
          <w:rFonts w:ascii="Arial" w:hAnsi="Arial" w:cs="Arial"/>
          <w:bCs/>
          <w:sz w:val="20"/>
          <w:szCs w:val="20"/>
          <w:lang w:val="es-CO"/>
        </w:rPr>
      </w:pPr>
      <w:r>
        <w:rPr>
          <w:rFonts w:ascii="Arial" w:hAnsi="Arial" w:cs="Arial"/>
          <w:bCs/>
          <w:sz w:val="20"/>
          <w:szCs w:val="20"/>
          <w:lang w:val="es-CO"/>
        </w:rPr>
        <w:t xml:space="preserve">Para </w:t>
      </w:r>
      <w:r w:rsidR="00386409">
        <w:rPr>
          <w:rFonts w:ascii="Arial" w:hAnsi="Arial" w:cs="Arial"/>
          <w:bCs/>
          <w:sz w:val="20"/>
          <w:szCs w:val="20"/>
          <w:lang w:val="es-CO"/>
        </w:rPr>
        <w:t xml:space="preserve">la estimación de los flujos </w:t>
      </w:r>
      <w:r w:rsidR="00191A23">
        <w:rPr>
          <w:rFonts w:ascii="Arial" w:hAnsi="Arial" w:cs="Arial"/>
          <w:bCs/>
          <w:sz w:val="20"/>
          <w:szCs w:val="20"/>
          <w:lang w:val="es-CO"/>
        </w:rPr>
        <w:t xml:space="preserve">de efectivo </w:t>
      </w:r>
      <w:r w:rsidR="004B608F">
        <w:rPr>
          <w:rFonts w:ascii="Arial" w:hAnsi="Arial" w:cs="Arial"/>
          <w:bCs/>
          <w:sz w:val="20"/>
          <w:szCs w:val="20"/>
          <w:lang w:val="es-CO"/>
        </w:rPr>
        <w:t>futuros</w:t>
      </w:r>
      <w:r w:rsidR="00B66689">
        <w:rPr>
          <w:rFonts w:ascii="Arial" w:hAnsi="Arial" w:cs="Arial"/>
          <w:bCs/>
          <w:sz w:val="20"/>
          <w:szCs w:val="20"/>
          <w:lang w:val="es-CO"/>
        </w:rPr>
        <w:t>,</w:t>
      </w:r>
      <w:r w:rsidR="006377F4">
        <w:rPr>
          <w:rFonts w:ascii="Arial" w:hAnsi="Arial" w:cs="Arial"/>
          <w:bCs/>
          <w:sz w:val="20"/>
          <w:szCs w:val="20"/>
          <w:lang w:val="es-CO"/>
        </w:rPr>
        <w:t xml:space="preserve"> las entidades deben tener en cuenta hipótesis realis</w:t>
      </w:r>
      <w:r w:rsidR="005F0A28">
        <w:rPr>
          <w:rFonts w:ascii="Arial" w:hAnsi="Arial" w:cs="Arial"/>
          <w:bCs/>
          <w:sz w:val="20"/>
          <w:szCs w:val="20"/>
          <w:lang w:val="es-CO"/>
        </w:rPr>
        <w:t xml:space="preserve">tas, </w:t>
      </w:r>
      <w:r w:rsidR="0010436E">
        <w:rPr>
          <w:rFonts w:ascii="Arial" w:hAnsi="Arial" w:cs="Arial"/>
          <w:bCs/>
          <w:sz w:val="20"/>
          <w:szCs w:val="20"/>
          <w:lang w:val="es-CO"/>
        </w:rPr>
        <w:t>considera</w:t>
      </w:r>
      <w:r w:rsidR="007A5606">
        <w:rPr>
          <w:rFonts w:ascii="Arial" w:hAnsi="Arial" w:cs="Arial"/>
          <w:bCs/>
          <w:sz w:val="20"/>
          <w:szCs w:val="20"/>
          <w:lang w:val="es-CO"/>
        </w:rPr>
        <w:t xml:space="preserve">ndo </w:t>
      </w:r>
      <w:r w:rsidR="00937E84">
        <w:rPr>
          <w:rFonts w:ascii="Arial" w:hAnsi="Arial" w:cs="Arial"/>
          <w:bCs/>
          <w:sz w:val="20"/>
          <w:szCs w:val="20"/>
          <w:lang w:val="es-CO"/>
        </w:rPr>
        <w:t xml:space="preserve">expectativas prudentes </w:t>
      </w:r>
      <w:r w:rsidR="0056473E">
        <w:rPr>
          <w:rFonts w:ascii="Arial" w:hAnsi="Arial" w:cs="Arial"/>
          <w:bCs/>
          <w:sz w:val="20"/>
          <w:szCs w:val="20"/>
          <w:lang w:val="es-CO"/>
        </w:rPr>
        <w:t xml:space="preserve">en </w:t>
      </w:r>
      <w:r w:rsidR="002362E3">
        <w:rPr>
          <w:rFonts w:ascii="Arial" w:hAnsi="Arial" w:cs="Arial"/>
          <w:bCs/>
          <w:sz w:val="20"/>
          <w:szCs w:val="20"/>
          <w:lang w:val="es-CO"/>
        </w:rPr>
        <w:t>la estimación de variables de mercado</w:t>
      </w:r>
      <w:r w:rsidR="004C6AFA">
        <w:rPr>
          <w:rFonts w:ascii="Arial" w:hAnsi="Arial" w:cs="Arial"/>
          <w:bCs/>
          <w:sz w:val="20"/>
          <w:szCs w:val="20"/>
          <w:lang w:val="es-CO"/>
        </w:rPr>
        <w:t xml:space="preserve"> </w:t>
      </w:r>
      <w:r w:rsidR="007E03D1">
        <w:rPr>
          <w:rFonts w:ascii="Arial" w:hAnsi="Arial" w:cs="Arial"/>
          <w:bCs/>
          <w:sz w:val="20"/>
          <w:szCs w:val="20"/>
          <w:lang w:val="es-CO"/>
        </w:rPr>
        <w:t>y macroeconómicas, así como</w:t>
      </w:r>
      <w:r w:rsidR="004C6AFA">
        <w:rPr>
          <w:rFonts w:ascii="Arial" w:hAnsi="Arial" w:cs="Arial"/>
          <w:bCs/>
          <w:sz w:val="20"/>
          <w:szCs w:val="20"/>
          <w:lang w:val="es-CO"/>
        </w:rPr>
        <w:t xml:space="preserve"> supuestos </w:t>
      </w:r>
      <w:r w:rsidR="00F84C68">
        <w:rPr>
          <w:rFonts w:ascii="Arial" w:hAnsi="Arial" w:cs="Arial"/>
          <w:bCs/>
          <w:sz w:val="20"/>
          <w:szCs w:val="20"/>
          <w:lang w:val="es-CO"/>
        </w:rPr>
        <w:t xml:space="preserve">razonables </w:t>
      </w:r>
      <w:r w:rsidR="000906A4">
        <w:rPr>
          <w:rFonts w:ascii="Arial" w:hAnsi="Arial" w:cs="Arial"/>
          <w:bCs/>
          <w:sz w:val="20"/>
          <w:szCs w:val="20"/>
          <w:lang w:val="es-CO"/>
        </w:rPr>
        <w:t xml:space="preserve">y </w:t>
      </w:r>
      <w:r w:rsidR="00C72030">
        <w:rPr>
          <w:rFonts w:ascii="Arial" w:hAnsi="Arial" w:cs="Arial"/>
          <w:bCs/>
          <w:sz w:val="20"/>
          <w:szCs w:val="20"/>
          <w:lang w:val="es-CO"/>
        </w:rPr>
        <w:t xml:space="preserve">sustentados en la experiencia </w:t>
      </w:r>
      <w:r w:rsidR="00545CD5">
        <w:rPr>
          <w:rFonts w:ascii="Arial" w:hAnsi="Arial" w:cs="Arial"/>
          <w:bCs/>
          <w:sz w:val="20"/>
          <w:szCs w:val="20"/>
          <w:lang w:val="es-CO"/>
        </w:rPr>
        <w:t xml:space="preserve">propia </w:t>
      </w:r>
      <w:r w:rsidR="009F1A60">
        <w:rPr>
          <w:rFonts w:ascii="Arial" w:hAnsi="Arial" w:cs="Arial"/>
          <w:bCs/>
          <w:sz w:val="20"/>
          <w:szCs w:val="20"/>
          <w:lang w:val="es-CO"/>
        </w:rPr>
        <w:t xml:space="preserve">de la entidad </w:t>
      </w:r>
      <w:r w:rsidR="00B270CD">
        <w:rPr>
          <w:rFonts w:ascii="Arial" w:hAnsi="Arial" w:cs="Arial"/>
          <w:bCs/>
          <w:sz w:val="20"/>
          <w:szCs w:val="20"/>
          <w:lang w:val="es-CO"/>
        </w:rPr>
        <w:t xml:space="preserve">o del mercado, en relación con </w:t>
      </w:r>
      <w:r w:rsidR="00480A81">
        <w:rPr>
          <w:rFonts w:ascii="Arial" w:hAnsi="Arial" w:cs="Arial"/>
          <w:bCs/>
          <w:sz w:val="20"/>
          <w:szCs w:val="20"/>
          <w:lang w:val="es-CO"/>
        </w:rPr>
        <w:t>el comportamiento de los r</w:t>
      </w:r>
      <w:r w:rsidR="009D0732">
        <w:rPr>
          <w:rFonts w:ascii="Arial" w:hAnsi="Arial" w:cs="Arial"/>
          <w:bCs/>
          <w:sz w:val="20"/>
          <w:szCs w:val="20"/>
          <w:lang w:val="es-CO"/>
        </w:rPr>
        <w:t>iesgos, de forma consistente con las hipótesis de tarifación</w:t>
      </w:r>
      <w:r w:rsidR="00EC1323">
        <w:rPr>
          <w:rFonts w:ascii="Arial" w:hAnsi="Arial" w:cs="Arial"/>
          <w:bCs/>
          <w:sz w:val="20"/>
          <w:szCs w:val="20"/>
          <w:lang w:val="es-CO"/>
        </w:rPr>
        <w:t xml:space="preserve"> </w:t>
      </w:r>
      <w:r w:rsidR="00EC1323" w:rsidRPr="001235E8">
        <w:rPr>
          <w:rFonts w:ascii="Arial" w:hAnsi="Arial" w:cs="Arial"/>
          <w:sz w:val="20"/>
          <w:szCs w:val="20"/>
          <w:lang w:val="es-CO"/>
        </w:rPr>
        <w:t>o los ajustes por experiencia</w:t>
      </w:r>
      <w:r w:rsidR="004F37C4" w:rsidRPr="001235E8">
        <w:rPr>
          <w:rFonts w:ascii="Arial" w:hAnsi="Arial" w:cs="Arial"/>
          <w:sz w:val="20"/>
          <w:szCs w:val="20"/>
          <w:lang w:val="es-CO"/>
        </w:rPr>
        <w:t>.</w:t>
      </w:r>
      <w:r w:rsidR="004F37C4">
        <w:rPr>
          <w:rFonts w:ascii="Arial" w:hAnsi="Arial" w:cs="Arial"/>
          <w:bCs/>
          <w:sz w:val="20"/>
          <w:szCs w:val="20"/>
          <w:lang w:val="es-CO"/>
        </w:rPr>
        <w:t xml:space="preserve"> </w:t>
      </w:r>
      <w:r w:rsidR="00346FE5">
        <w:rPr>
          <w:rFonts w:ascii="Arial" w:hAnsi="Arial" w:cs="Arial"/>
          <w:bCs/>
          <w:sz w:val="20"/>
          <w:szCs w:val="20"/>
          <w:lang w:val="es-CO"/>
        </w:rPr>
        <w:t>De conformidad con</w:t>
      </w:r>
      <w:r w:rsidR="00637A70">
        <w:rPr>
          <w:rFonts w:ascii="Arial" w:hAnsi="Arial" w:cs="Arial"/>
          <w:bCs/>
          <w:sz w:val="20"/>
          <w:szCs w:val="20"/>
          <w:lang w:val="es-CO"/>
        </w:rPr>
        <w:t xml:space="preserve"> el</w:t>
      </w:r>
      <w:r w:rsidR="00346FE5">
        <w:rPr>
          <w:rFonts w:ascii="Arial" w:hAnsi="Arial" w:cs="Arial"/>
          <w:bCs/>
          <w:sz w:val="20"/>
          <w:szCs w:val="20"/>
          <w:lang w:val="es-CO"/>
        </w:rPr>
        <w:t xml:space="preserve"> </w:t>
      </w:r>
      <w:r w:rsidR="00A428B8">
        <w:rPr>
          <w:rFonts w:ascii="Arial" w:hAnsi="Arial" w:cs="Arial"/>
          <w:bCs/>
          <w:sz w:val="20"/>
          <w:szCs w:val="20"/>
          <w:lang w:val="es-CO"/>
        </w:rPr>
        <w:t xml:space="preserve">numeral </w:t>
      </w:r>
      <w:r w:rsidR="006E5299">
        <w:rPr>
          <w:rFonts w:ascii="Arial" w:hAnsi="Arial" w:cs="Arial"/>
          <w:bCs/>
          <w:sz w:val="20"/>
          <w:szCs w:val="20"/>
          <w:lang w:val="es-CO"/>
        </w:rPr>
        <w:t>2</w:t>
      </w:r>
      <w:r w:rsidR="00A428B8" w:rsidRPr="004026DD">
        <w:rPr>
          <w:rFonts w:ascii="Arial" w:hAnsi="Arial" w:cs="Arial"/>
          <w:bCs/>
          <w:sz w:val="20"/>
          <w:szCs w:val="20"/>
          <w:lang w:val="es-CO"/>
        </w:rPr>
        <w:t xml:space="preserve"> del artículo 2.31.4.1.4. del Decreto 2555 de 2010</w:t>
      </w:r>
      <w:r w:rsidR="006E5299">
        <w:rPr>
          <w:rFonts w:ascii="Arial" w:hAnsi="Arial" w:cs="Arial"/>
          <w:bCs/>
          <w:sz w:val="20"/>
          <w:szCs w:val="20"/>
          <w:lang w:val="es-CO"/>
        </w:rPr>
        <w:t xml:space="preserve">, las hipótesis </w:t>
      </w:r>
      <w:r w:rsidR="00683EE7">
        <w:rPr>
          <w:rFonts w:ascii="Arial" w:hAnsi="Arial" w:cs="Arial"/>
          <w:bCs/>
          <w:sz w:val="20"/>
          <w:szCs w:val="20"/>
          <w:lang w:val="es-CO"/>
        </w:rPr>
        <w:t xml:space="preserve">utilizadas por la entidad deben estar soportadas en </w:t>
      </w:r>
      <w:r w:rsidR="00723647">
        <w:rPr>
          <w:rFonts w:ascii="Arial" w:hAnsi="Arial" w:cs="Arial"/>
          <w:bCs/>
          <w:sz w:val="20"/>
          <w:szCs w:val="20"/>
          <w:lang w:val="es-CO"/>
        </w:rPr>
        <w:t xml:space="preserve">métodos validados tanto teóricos </w:t>
      </w:r>
      <w:r w:rsidR="004E54D6">
        <w:rPr>
          <w:rFonts w:ascii="Arial" w:hAnsi="Arial" w:cs="Arial"/>
          <w:bCs/>
          <w:sz w:val="20"/>
          <w:szCs w:val="20"/>
          <w:lang w:val="es-CO"/>
        </w:rPr>
        <w:t>como prácti</w:t>
      </w:r>
      <w:r w:rsidR="00AD11DB">
        <w:rPr>
          <w:rFonts w:ascii="Arial" w:hAnsi="Arial" w:cs="Arial"/>
          <w:bCs/>
          <w:sz w:val="20"/>
          <w:szCs w:val="20"/>
          <w:lang w:val="es-CO"/>
        </w:rPr>
        <w:t>cos</w:t>
      </w:r>
      <w:r w:rsidR="00CC0922">
        <w:rPr>
          <w:rFonts w:ascii="Arial" w:hAnsi="Arial" w:cs="Arial"/>
          <w:bCs/>
          <w:sz w:val="20"/>
          <w:szCs w:val="20"/>
          <w:lang w:val="es-CO"/>
        </w:rPr>
        <w:t xml:space="preserve">, y deben ser objeto </w:t>
      </w:r>
      <w:r w:rsidR="004F7898">
        <w:rPr>
          <w:rFonts w:ascii="Arial" w:hAnsi="Arial" w:cs="Arial"/>
          <w:bCs/>
          <w:sz w:val="20"/>
          <w:szCs w:val="20"/>
          <w:lang w:val="es-CO"/>
        </w:rPr>
        <w:t>de pruebas de calibración y desempeño con una periodicidad por lo menos anual.</w:t>
      </w:r>
    </w:p>
    <w:p w14:paraId="1EA3D288" w14:textId="77777777" w:rsidR="000B0A6B" w:rsidRPr="000B0A6B" w:rsidRDefault="000B0A6B" w:rsidP="000B0A6B">
      <w:pPr>
        <w:pStyle w:val="Prrafodelista"/>
        <w:rPr>
          <w:rFonts w:ascii="Arial" w:hAnsi="Arial" w:cs="Arial"/>
          <w:bCs/>
          <w:sz w:val="20"/>
          <w:szCs w:val="20"/>
          <w:lang w:val="es-CO"/>
        </w:rPr>
      </w:pPr>
    </w:p>
    <w:p w14:paraId="18F8F0E2" w14:textId="68CF0BAB" w:rsidR="003E267E" w:rsidRDefault="007777A4" w:rsidP="003E267E">
      <w:pPr>
        <w:pStyle w:val="Prrafodelista"/>
        <w:numPr>
          <w:ilvl w:val="0"/>
          <w:numId w:val="3"/>
        </w:numPr>
        <w:ind w:left="1134" w:hanging="567"/>
        <w:jc w:val="both"/>
        <w:rPr>
          <w:rFonts w:ascii="Arial" w:hAnsi="Arial" w:cs="Arial"/>
          <w:bCs/>
          <w:sz w:val="20"/>
          <w:szCs w:val="20"/>
          <w:lang w:val="es-CO"/>
        </w:rPr>
      </w:pPr>
      <w:r>
        <w:rPr>
          <w:rFonts w:ascii="Arial" w:hAnsi="Arial" w:cs="Arial"/>
          <w:bCs/>
          <w:sz w:val="20"/>
          <w:szCs w:val="20"/>
          <w:lang w:val="es-CO"/>
        </w:rPr>
        <w:t>Según lo señalado en los numerales 4 y 5</w:t>
      </w:r>
      <w:r w:rsidRPr="004026DD">
        <w:rPr>
          <w:rFonts w:ascii="Arial" w:hAnsi="Arial" w:cs="Arial"/>
          <w:bCs/>
          <w:sz w:val="20"/>
          <w:szCs w:val="20"/>
          <w:lang w:val="es-CO"/>
        </w:rPr>
        <w:t xml:space="preserve"> del artículo 2.31.4.1.4. del Decreto 2555 de 2010</w:t>
      </w:r>
      <w:r>
        <w:rPr>
          <w:rFonts w:ascii="Arial" w:hAnsi="Arial" w:cs="Arial"/>
          <w:bCs/>
          <w:sz w:val="20"/>
          <w:szCs w:val="20"/>
          <w:lang w:val="es-CO"/>
        </w:rPr>
        <w:t>, los flujos sensible</w:t>
      </w:r>
      <w:r w:rsidR="005C526F">
        <w:rPr>
          <w:rFonts w:ascii="Arial" w:hAnsi="Arial" w:cs="Arial"/>
          <w:bCs/>
          <w:sz w:val="20"/>
          <w:szCs w:val="20"/>
          <w:lang w:val="es-CO"/>
        </w:rPr>
        <w:t xml:space="preserve">s </w:t>
      </w:r>
      <w:r>
        <w:rPr>
          <w:rFonts w:ascii="Arial" w:hAnsi="Arial" w:cs="Arial"/>
          <w:bCs/>
          <w:sz w:val="20"/>
          <w:szCs w:val="20"/>
          <w:lang w:val="es-CO"/>
        </w:rPr>
        <w:t>a la</w:t>
      </w:r>
      <w:r w:rsidR="005C526F">
        <w:rPr>
          <w:rFonts w:ascii="Arial" w:hAnsi="Arial" w:cs="Arial"/>
          <w:bCs/>
          <w:sz w:val="20"/>
          <w:szCs w:val="20"/>
          <w:lang w:val="es-CO"/>
        </w:rPr>
        <w:t xml:space="preserve"> inflación y a las variaciones en el salario mínimo </w:t>
      </w:r>
      <w:r w:rsidR="00BA5B05">
        <w:rPr>
          <w:rFonts w:ascii="Arial" w:hAnsi="Arial" w:cs="Arial"/>
          <w:bCs/>
          <w:sz w:val="20"/>
          <w:szCs w:val="20"/>
          <w:lang w:val="es-CO"/>
        </w:rPr>
        <w:t>deben</w:t>
      </w:r>
      <w:r w:rsidR="003F6585">
        <w:rPr>
          <w:rFonts w:ascii="Arial" w:hAnsi="Arial" w:cs="Arial"/>
          <w:bCs/>
          <w:sz w:val="20"/>
          <w:szCs w:val="20"/>
          <w:lang w:val="es-CO"/>
        </w:rPr>
        <w:t xml:space="preserve"> ser actualizados </w:t>
      </w:r>
      <w:r w:rsidR="00444184">
        <w:rPr>
          <w:rFonts w:ascii="Arial" w:hAnsi="Arial" w:cs="Arial"/>
          <w:bCs/>
          <w:sz w:val="20"/>
          <w:szCs w:val="20"/>
          <w:lang w:val="es-CO"/>
        </w:rPr>
        <w:t xml:space="preserve">de conformidad con los numerales </w:t>
      </w:r>
      <w:r w:rsidR="00036D02">
        <w:rPr>
          <w:rFonts w:ascii="Arial" w:hAnsi="Arial" w:cs="Arial"/>
          <w:bCs/>
          <w:sz w:val="20"/>
          <w:szCs w:val="20"/>
          <w:lang w:val="es-CO"/>
        </w:rPr>
        <w:t>3.1.</w:t>
      </w:r>
      <w:r w:rsidR="00444184">
        <w:rPr>
          <w:rFonts w:ascii="Arial" w:hAnsi="Arial" w:cs="Arial"/>
          <w:bCs/>
          <w:sz w:val="20"/>
          <w:szCs w:val="20"/>
          <w:lang w:val="es-CO"/>
        </w:rPr>
        <w:t xml:space="preserve"> y </w:t>
      </w:r>
      <w:r w:rsidR="00036D02">
        <w:rPr>
          <w:rFonts w:ascii="Arial" w:hAnsi="Arial" w:cs="Arial"/>
          <w:bCs/>
          <w:sz w:val="20"/>
          <w:szCs w:val="20"/>
          <w:lang w:val="es-CO"/>
        </w:rPr>
        <w:t>3.2.</w:t>
      </w:r>
      <w:r w:rsidR="00444184">
        <w:rPr>
          <w:rFonts w:ascii="Arial" w:hAnsi="Arial" w:cs="Arial"/>
          <w:bCs/>
          <w:sz w:val="20"/>
          <w:szCs w:val="20"/>
          <w:lang w:val="es-CO"/>
        </w:rPr>
        <w:t xml:space="preserve"> del presente capítulo.</w:t>
      </w:r>
    </w:p>
    <w:p w14:paraId="213DBA3D" w14:textId="77777777" w:rsidR="003E267E" w:rsidRPr="003E267E" w:rsidRDefault="003E267E" w:rsidP="003E267E">
      <w:pPr>
        <w:pStyle w:val="Prrafodelista"/>
        <w:rPr>
          <w:rFonts w:ascii="Arial" w:hAnsi="Arial" w:cs="Arial"/>
          <w:bCs/>
          <w:sz w:val="20"/>
          <w:szCs w:val="20"/>
          <w:lang w:val="es-CO"/>
        </w:rPr>
      </w:pPr>
    </w:p>
    <w:p w14:paraId="010D5866" w14:textId="4298B446" w:rsidR="003E267E" w:rsidRPr="003E267E" w:rsidRDefault="00C43C6F" w:rsidP="00477924">
      <w:pPr>
        <w:pStyle w:val="Prrafodelista"/>
        <w:numPr>
          <w:ilvl w:val="0"/>
          <w:numId w:val="3"/>
        </w:numPr>
        <w:ind w:left="1134" w:hanging="567"/>
        <w:jc w:val="both"/>
        <w:rPr>
          <w:rFonts w:ascii="Arial" w:hAnsi="Arial" w:cs="Arial"/>
          <w:bCs/>
          <w:sz w:val="20"/>
          <w:szCs w:val="20"/>
          <w:lang w:val="es-CO"/>
        </w:rPr>
      </w:pPr>
      <w:r>
        <w:rPr>
          <w:rFonts w:ascii="Arial" w:hAnsi="Arial" w:cs="Arial"/>
          <w:bCs/>
          <w:sz w:val="20"/>
          <w:szCs w:val="20"/>
          <w:lang w:val="es-CO"/>
        </w:rPr>
        <w:t xml:space="preserve">En el caso de los flujos de egreso, las entidades deben considerar </w:t>
      </w:r>
      <w:r w:rsidR="0083654F">
        <w:rPr>
          <w:rFonts w:ascii="Arial" w:hAnsi="Arial" w:cs="Arial"/>
          <w:bCs/>
          <w:sz w:val="20"/>
          <w:szCs w:val="20"/>
          <w:lang w:val="es-CO"/>
        </w:rPr>
        <w:t xml:space="preserve">los </w:t>
      </w:r>
      <w:r w:rsidR="00B22646">
        <w:rPr>
          <w:rFonts w:ascii="Arial" w:hAnsi="Arial" w:cs="Arial"/>
          <w:bCs/>
          <w:sz w:val="20"/>
          <w:szCs w:val="20"/>
          <w:lang w:val="es-CO"/>
        </w:rPr>
        <w:t xml:space="preserve">costos y </w:t>
      </w:r>
      <w:r w:rsidR="0083654F">
        <w:rPr>
          <w:rFonts w:ascii="Arial" w:hAnsi="Arial" w:cs="Arial"/>
          <w:bCs/>
          <w:sz w:val="20"/>
          <w:szCs w:val="20"/>
          <w:lang w:val="es-CO"/>
        </w:rPr>
        <w:t>gastos</w:t>
      </w:r>
      <w:r w:rsidR="00011296">
        <w:rPr>
          <w:rFonts w:ascii="Arial" w:hAnsi="Arial" w:cs="Arial"/>
          <w:bCs/>
          <w:sz w:val="20"/>
          <w:szCs w:val="20"/>
          <w:lang w:val="es-CO"/>
        </w:rPr>
        <w:t xml:space="preserve"> que hacen parte del flujo, es decir, que se encuentran</w:t>
      </w:r>
      <w:r w:rsidR="0083654F">
        <w:rPr>
          <w:rFonts w:ascii="Arial" w:hAnsi="Arial" w:cs="Arial"/>
          <w:bCs/>
          <w:sz w:val="20"/>
          <w:szCs w:val="20"/>
          <w:lang w:val="es-CO"/>
        </w:rPr>
        <w:t xml:space="preserve"> </w:t>
      </w:r>
      <w:r w:rsidR="00477924">
        <w:rPr>
          <w:rFonts w:ascii="Arial" w:hAnsi="Arial" w:cs="Arial"/>
          <w:bCs/>
          <w:sz w:val="20"/>
          <w:szCs w:val="20"/>
          <w:lang w:val="es-CO"/>
        </w:rPr>
        <w:t xml:space="preserve">relacionados </w:t>
      </w:r>
      <w:r w:rsidR="00B22646">
        <w:rPr>
          <w:rFonts w:ascii="Arial" w:hAnsi="Arial" w:cs="Arial"/>
          <w:bCs/>
          <w:sz w:val="20"/>
          <w:szCs w:val="20"/>
          <w:lang w:val="es-CO"/>
        </w:rPr>
        <w:t xml:space="preserve">directamente </w:t>
      </w:r>
      <w:r w:rsidR="00477924">
        <w:rPr>
          <w:rFonts w:ascii="Arial" w:hAnsi="Arial" w:cs="Arial"/>
          <w:bCs/>
          <w:sz w:val="20"/>
          <w:szCs w:val="20"/>
          <w:lang w:val="es-CO"/>
        </w:rPr>
        <w:t>con</w:t>
      </w:r>
      <w:r w:rsidR="00B22646">
        <w:rPr>
          <w:rFonts w:ascii="Arial" w:hAnsi="Arial" w:cs="Arial"/>
          <w:bCs/>
          <w:sz w:val="20"/>
          <w:szCs w:val="20"/>
          <w:lang w:val="es-CO"/>
        </w:rPr>
        <w:t xml:space="preserve"> el cumplimiento</w:t>
      </w:r>
      <w:r w:rsidR="00477924">
        <w:rPr>
          <w:rFonts w:ascii="Arial" w:hAnsi="Arial" w:cs="Arial"/>
          <w:bCs/>
          <w:sz w:val="20"/>
          <w:szCs w:val="20"/>
          <w:lang w:val="es-CO"/>
        </w:rPr>
        <w:t xml:space="preserve"> </w:t>
      </w:r>
      <w:r w:rsidR="00702CEA">
        <w:rPr>
          <w:rFonts w:ascii="Arial" w:hAnsi="Arial" w:cs="Arial"/>
          <w:bCs/>
          <w:sz w:val="20"/>
          <w:szCs w:val="20"/>
          <w:lang w:val="es-CO"/>
        </w:rPr>
        <w:t xml:space="preserve">de </w:t>
      </w:r>
      <w:r w:rsidR="00477924">
        <w:rPr>
          <w:rFonts w:ascii="Arial" w:hAnsi="Arial" w:cs="Arial"/>
          <w:bCs/>
          <w:sz w:val="20"/>
          <w:szCs w:val="20"/>
          <w:lang w:val="es-CO"/>
        </w:rPr>
        <w:t>cada contrato de seguro o con el ramo respectivo</w:t>
      </w:r>
      <w:r w:rsidR="002C1061">
        <w:rPr>
          <w:rFonts w:ascii="Arial" w:hAnsi="Arial" w:cs="Arial"/>
          <w:bCs/>
          <w:sz w:val="20"/>
          <w:szCs w:val="20"/>
          <w:lang w:val="es-CO"/>
        </w:rPr>
        <w:t xml:space="preserve">, </w:t>
      </w:r>
      <w:r w:rsidR="00304795">
        <w:rPr>
          <w:rFonts w:ascii="Arial" w:hAnsi="Arial" w:cs="Arial"/>
          <w:bCs/>
          <w:sz w:val="20"/>
          <w:szCs w:val="20"/>
          <w:lang w:val="es-CO"/>
        </w:rPr>
        <w:t>cuando el mapeo de los flujos se realice a nivel de ramo según lo señalado en el ordinal (i) del literal (a) del numeral 3 del presente capítulo</w:t>
      </w:r>
      <w:r w:rsidR="00E85E21">
        <w:rPr>
          <w:rFonts w:ascii="Arial" w:hAnsi="Arial" w:cs="Arial"/>
          <w:bCs/>
          <w:sz w:val="20"/>
          <w:szCs w:val="20"/>
          <w:lang w:val="es-CO"/>
        </w:rPr>
        <w:t>. C</w:t>
      </w:r>
      <w:r w:rsidR="00F81F77">
        <w:rPr>
          <w:rFonts w:ascii="Arial" w:hAnsi="Arial" w:cs="Arial"/>
          <w:bCs/>
          <w:sz w:val="20"/>
          <w:szCs w:val="20"/>
          <w:lang w:val="es-CO"/>
        </w:rPr>
        <w:t xml:space="preserve">orresponde a las entidades </w:t>
      </w:r>
      <w:r w:rsidR="00E85E21">
        <w:rPr>
          <w:rFonts w:ascii="Arial" w:hAnsi="Arial" w:cs="Arial"/>
          <w:bCs/>
          <w:sz w:val="20"/>
          <w:szCs w:val="20"/>
          <w:lang w:val="es-CO"/>
        </w:rPr>
        <w:t xml:space="preserve">aseguradoras </w:t>
      </w:r>
      <w:r w:rsidR="003302C3">
        <w:rPr>
          <w:rFonts w:ascii="Arial" w:hAnsi="Arial" w:cs="Arial"/>
          <w:bCs/>
          <w:sz w:val="20"/>
          <w:szCs w:val="20"/>
          <w:lang w:val="es-CO"/>
        </w:rPr>
        <w:t xml:space="preserve">efectuar </w:t>
      </w:r>
      <w:r w:rsidR="00E85E21">
        <w:rPr>
          <w:rFonts w:ascii="Arial" w:hAnsi="Arial" w:cs="Arial"/>
          <w:bCs/>
          <w:sz w:val="20"/>
          <w:szCs w:val="20"/>
          <w:lang w:val="es-CO"/>
        </w:rPr>
        <w:t xml:space="preserve">un </w:t>
      </w:r>
      <w:r w:rsidR="003302C3">
        <w:rPr>
          <w:rFonts w:ascii="Arial" w:hAnsi="Arial" w:cs="Arial"/>
          <w:bCs/>
          <w:sz w:val="20"/>
          <w:szCs w:val="20"/>
          <w:lang w:val="es-CO"/>
        </w:rPr>
        <w:t>análisis que permita evidenciar</w:t>
      </w:r>
      <w:r w:rsidR="00985A55">
        <w:rPr>
          <w:rFonts w:ascii="Arial" w:hAnsi="Arial" w:cs="Arial"/>
          <w:bCs/>
          <w:sz w:val="20"/>
          <w:szCs w:val="20"/>
          <w:lang w:val="es-CO"/>
        </w:rPr>
        <w:t xml:space="preserve"> que tales costos y gastos son directamente </w:t>
      </w:r>
      <w:r w:rsidR="000435CB">
        <w:rPr>
          <w:rFonts w:ascii="Arial" w:hAnsi="Arial" w:cs="Arial"/>
          <w:bCs/>
          <w:sz w:val="20"/>
          <w:szCs w:val="20"/>
          <w:lang w:val="es-CO"/>
        </w:rPr>
        <w:t xml:space="preserve">atribuibles al </w:t>
      </w:r>
      <w:r w:rsidR="002C1061">
        <w:rPr>
          <w:rFonts w:ascii="Arial" w:hAnsi="Arial" w:cs="Arial"/>
          <w:bCs/>
          <w:sz w:val="20"/>
          <w:szCs w:val="20"/>
          <w:lang w:val="es-CO"/>
        </w:rPr>
        <w:t>cumplimiento del contrato</w:t>
      </w:r>
      <w:r w:rsidR="000241FD">
        <w:rPr>
          <w:rFonts w:ascii="Arial" w:hAnsi="Arial" w:cs="Arial"/>
          <w:bCs/>
          <w:sz w:val="20"/>
          <w:szCs w:val="20"/>
          <w:lang w:val="es-CO"/>
        </w:rPr>
        <w:t xml:space="preserve"> de seguro</w:t>
      </w:r>
      <w:r w:rsidR="00C752AD">
        <w:rPr>
          <w:rFonts w:ascii="Arial" w:hAnsi="Arial" w:cs="Arial"/>
          <w:bCs/>
          <w:sz w:val="20"/>
          <w:szCs w:val="20"/>
          <w:lang w:val="es-CO"/>
        </w:rPr>
        <w:t>. E</w:t>
      </w:r>
      <w:r w:rsidR="009A5DBD">
        <w:rPr>
          <w:rFonts w:ascii="Arial" w:hAnsi="Arial" w:cs="Arial"/>
          <w:bCs/>
          <w:sz w:val="20"/>
          <w:szCs w:val="20"/>
          <w:lang w:val="es-CO"/>
        </w:rPr>
        <w:t>ste análisis deberá estar documentado y a disposición de la SFC</w:t>
      </w:r>
      <w:r w:rsidR="00477924">
        <w:rPr>
          <w:rFonts w:ascii="Arial" w:hAnsi="Arial" w:cs="Arial"/>
          <w:bCs/>
          <w:sz w:val="20"/>
          <w:szCs w:val="20"/>
          <w:lang w:val="es-CO"/>
        </w:rPr>
        <w:t>.</w:t>
      </w:r>
    </w:p>
    <w:p w14:paraId="464FEDBD" w14:textId="77777777" w:rsidR="00A62B4B" w:rsidRPr="000B0A6B" w:rsidRDefault="00A62B4B" w:rsidP="000B0A6B">
      <w:pPr>
        <w:jc w:val="both"/>
        <w:rPr>
          <w:rFonts w:ascii="Arial" w:hAnsi="Arial" w:cs="Arial"/>
          <w:bCs/>
          <w:sz w:val="20"/>
          <w:szCs w:val="20"/>
          <w:lang w:val="es-CO"/>
        </w:rPr>
      </w:pPr>
    </w:p>
    <w:p w14:paraId="1E711B85" w14:textId="65D85679" w:rsidR="00A62B4B" w:rsidRDefault="0069692B" w:rsidP="00BE2CFC">
      <w:pPr>
        <w:pStyle w:val="Prrafodelista"/>
        <w:numPr>
          <w:ilvl w:val="0"/>
          <w:numId w:val="2"/>
        </w:numPr>
        <w:ind w:left="567" w:hanging="567"/>
        <w:jc w:val="both"/>
        <w:rPr>
          <w:rFonts w:ascii="Arial" w:hAnsi="Arial" w:cs="Arial"/>
          <w:bCs/>
          <w:sz w:val="20"/>
          <w:szCs w:val="20"/>
          <w:lang w:val="es-CO"/>
        </w:rPr>
      </w:pPr>
      <w:r>
        <w:rPr>
          <w:rFonts w:ascii="Arial" w:hAnsi="Arial" w:cs="Arial"/>
          <w:bCs/>
          <w:sz w:val="20"/>
          <w:szCs w:val="20"/>
          <w:lang w:val="es-CO"/>
        </w:rPr>
        <w:lastRenderedPageBreak/>
        <w:t xml:space="preserve">Establecer </w:t>
      </w:r>
      <w:r w:rsidRPr="00F358F3">
        <w:rPr>
          <w:rFonts w:ascii="Arial" w:hAnsi="Arial" w:cs="Arial"/>
          <w:sz w:val="20"/>
          <w:szCs w:val="20"/>
          <w:lang w:val="es-CO"/>
        </w:rPr>
        <w:t>el v</w:t>
      </w:r>
      <w:r w:rsidR="0024332D" w:rsidRPr="00F358F3">
        <w:rPr>
          <w:rFonts w:ascii="Arial" w:hAnsi="Arial" w:cs="Arial"/>
          <w:sz w:val="20"/>
          <w:szCs w:val="20"/>
          <w:lang w:val="es-CO"/>
        </w:rPr>
        <w:t xml:space="preserve">alor presente de los flujos </w:t>
      </w:r>
      <w:r w:rsidRPr="00F358F3">
        <w:rPr>
          <w:rFonts w:ascii="Arial" w:hAnsi="Arial" w:cs="Arial"/>
          <w:sz w:val="20"/>
          <w:szCs w:val="20"/>
          <w:lang w:val="es-CO"/>
        </w:rPr>
        <w:t>de efectivo</w:t>
      </w:r>
      <w:r>
        <w:rPr>
          <w:rFonts w:ascii="Arial" w:hAnsi="Arial" w:cs="Arial"/>
          <w:bCs/>
          <w:sz w:val="20"/>
          <w:szCs w:val="20"/>
          <w:lang w:val="es-CO"/>
        </w:rPr>
        <w:t>:</w:t>
      </w:r>
      <w:r w:rsidR="002F392A">
        <w:rPr>
          <w:rFonts w:ascii="Arial" w:hAnsi="Arial" w:cs="Arial"/>
          <w:bCs/>
          <w:sz w:val="20"/>
          <w:szCs w:val="20"/>
          <w:lang w:val="es-CO"/>
        </w:rPr>
        <w:t xml:space="preserve"> una vez estimados los flujos de acuerdo con lo señalado en el literal (a) del numeral 3 del presente </w:t>
      </w:r>
      <w:r w:rsidR="00F543E4">
        <w:rPr>
          <w:rFonts w:ascii="Arial" w:hAnsi="Arial" w:cs="Arial"/>
          <w:bCs/>
          <w:sz w:val="20"/>
          <w:szCs w:val="20"/>
          <w:lang w:val="es-CO"/>
        </w:rPr>
        <w:t>capítulo, la entidad debe calcular el valor presente de dicho</w:t>
      </w:r>
      <w:r w:rsidR="00AE37C9">
        <w:rPr>
          <w:rFonts w:ascii="Arial" w:hAnsi="Arial" w:cs="Arial"/>
          <w:bCs/>
          <w:sz w:val="20"/>
          <w:szCs w:val="20"/>
          <w:lang w:val="es-CO"/>
        </w:rPr>
        <w:t>s</w:t>
      </w:r>
      <w:r w:rsidR="00F543E4">
        <w:rPr>
          <w:rFonts w:ascii="Arial" w:hAnsi="Arial" w:cs="Arial"/>
          <w:bCs/>
          <w:sz w:val="20"/>
          <w:szCs w:val="20"/>
          <w:lang w:val="es-CO"/>
        </w:rPr>
        <w:t xml:space="preserve"> flujos </w:t>
      </w:r>
      <w:r w:rsidR="00F543E4" w:rsidRPr="00F358F3">
        <w:rPr>
          <w:rFonts w:ascii="Arial" w:hAnsi="Arial" w:cs="Arial"/>
          <w:sz w:val="20"/>
          <w:szCs w:val="20"/>
          <w:lang w:val="es-CO"/>
        </w:rPr>
        <w:t xml:space="preserve">a partir de la tasa de descuento </w:t>
      </w:r>
      <w:r w:rsidR="00FC6C8B" w:rsidRPr="00F358F3">
        <w:rPr>
          <w:rFonts w:ascii="Arial" w:hAnsi="Arial" w:cs="Arial"/>
          <w:sz w:val="20"/>
          <w:szCs w:val="20"/>
          <w:lang w:val="es-CO"/>
        </w:rPr>
        <w:t xml:space="preserve">prevista en el </w:t>
      </w:r>
      <w:r w:rsidR="00AE37C9" w:rsidRPr="00F358F3">
        <w:rPr>
          <w:rFonts w:ascii="Arial" w:hAnsi="Arial" w:cs="Arial"/>
          <w:sz w:val="20"/>
          <w:szCs w:val="20"/>
          <w:lang w:val="es-CO"/>
        </w:rPr>
        <w:t xml:space="preserve">numeral </w:t>
      </w:r>
      <w:r w:rsidR="00DF39E3" w:rsidRPr="00F358F3">
        <w:rPr>
          <w:rFonts w:ascii="Arial" w:hAnsi="Arial" w:cs="Arial"/>
          <w:sz w:val="20"/>
          <w:szCs w:val="20"/>
          <w:lang w:val="es-CO"/>
        </w:rPr>
        <w:t>3.3.</w:t>
      </w:r>
      <w:r w:rsidR="00AE37C9" w:rsidRPr="00F358F3">
        <w:rPr>
          <w:rFonts w:ascii="Arial" w:hAnsi="Arial" w:cs="Arial"/>
          <w:sz w:val="20"/>
          <w:szCs w:val="20"/>
          <w:lang w:val="es-CO"/>
        </w:rPr>
        <w:t xml:space="preserve"> del presente capítulo</w:t>
      </w:r>
      <w:r w:rsidR="00AE37C9">
        <w:rPr>
          <w:rFonts w:ascii="Arial" w:hAnsi="Arial" w:cs="Arial"/>
          <w:bCs/>
          <w:sz w:val="20"/>
          <w:szCs w:val="20"/>
          <w:lang w:val="es-CO"/>
        </w:rPr>
        <w:t>.</w:t>
      </w:r>
    </w:p>
    <w:p w14:paraId="43135D43" w14:textId="77777777" w:rsidR="00AE37C9" w:rsidRDefault="00AE37C9" w:rsidP="00AE37C9">
      <w:pPr>
        <w:pStyle w:val="Prrafodelista"/>
        <w:ind w:left="567"/>
        <w:jc w:val="both"/>
        <w:rPr>
          <w:rFonts w:ascii="Arial" w:hAnsi="Arial" w:cs="Arial"/>
          <w:bCs/>
          <w:sz w:val="20"/>
          <w:szCs w:val="20"/>
          <w:lang w:val="es-CO"/>
        </w:rPr>
      </w:pPr>
    </w:p>
    <w:p w14:paraId="7FE25768" w14:textId="2D140A3E" w:rsidR="0066744E" w:rsidRPr="00D801FD" w:rsidRDefault="005E1307" w:rsidP="00BE2CFC">
      <w:pPr>
        <w:pStyle w:val="Prrafodelista"/>
        <w:numPr>
          <w:ilvl w:val="0"/>
          <w:numId w:val="2"/>
        </w:numPr>
        <w:ind w:left="567" w:hanging="567"/>
        <w:jc w:val="both"/>
        <w:rPr>
          <w:rFonts w:ascii="Arial" w:hAnsi="Arial" w:cs="Arial"/>
          <w:bCs/>
          <w:sz w:val="20"/>
          <w:szCs w:val="20"/>
          <w:lang w:val="es-CO"/>
        </w:rPr>
      </w:pPr>
      <w:r>
        <w:rPr>
          <w:rFonts w:ascii="Arial" w:hAnsi="Arial" w:cs="Arial"/>
          <w:bCs/>
          <w:sz w:val="20"/>
          <w:szCs w:val="20"/>
          <w:lang w:val="es-CO"/>
        </w:rPr>
        <w:t xml:space="preserve">Agregar </w:t>
      </w:r>
      <w:r w:rsidR="002E17B5">
        <w:rPr>
          <w:rFonts w:ascii="Arial" w:hAnsi="Arial" w:cs="Arial"/>
          <w:bCs/>
          <w:sz w:val="20"/>
          <w:szCs w:val="20"/>
          <w:lang w:val="es-CO"/>
        </w:rPr>
        <w:t>el a</w:t>
      </w:r>
      <w:r w:rsidR="006B5019">
        <w:rPr>
          <w:rFonts w:ascii="Arial" w:hAnsi="Arial" w:cs="Arial"/>
          <w:bCs/>
          <w:sz w:val="20"/>
          <w:szCs w:val="20"/>
          <w:lang w:val="es-CO"/>
        </w:rPr>
        <w:t xml:space="preserve">juste por riesgo no financiero: </w:t>
      </w:r>
      <w:r w:rsidR="005F7790">
        <w:rPr>
          <w:rFonts w:ascii="Arial" w:hAnsi="Arial" w:cs="Arial"/>
          <w:bCs/>
          <w:sz w:val="20"/>
          <w:szCs w:val="20"/>
          <w:lang w:val="es-CO"/>
        </w:rPr>
        <w:t xml:space="preserve">de conformidad con </w:t>
      </w:r>
      <w:r w:rsidR="00397B17">
        <w:rPr>
          <w:rFonts w:ascii="Arial" w:hAnsi="Arial" w:cs="Arial"/>
          <w:bCs/>
          <w:sz w:val="20"/>
          <w:szCs w:val="20"/>
          <w:lang w:val="es-CO"/>
        </w:rPr>
        <w:t xml:space="preserve">lo previsto en </w:t>
      </w:r>
      <w:r w:rsidR="005F7790">
        <w:rPr>
          <w:rFonts w:ascii="Arial" w:hAnsi="Arial" w:cs="Arial"/>
          <w:bCs/>
          <w:sz w:val="20"/>
          <w:szCs w:val="20"/>
          <w:lang w:val="es-CO"/>
        </w:rPr>
        <w:t>el artículo 2.31.4.1.5. del Decreto 2555 de 2010, además de los flujos futuros</w:t>
      </w:r>
      <w:r w:rsidR="00992CAE">
        <w:rPr>
          <w:rFonts w:ascii="Arial" w:hAnsi="Arial" w:cs="Arial"/>
          <w:bCs/>
          <w:sz w:val="20"/>
          <w:szCs w:val="20"/>
          <w:lang w:val="es-CO"/>
        </w:rPr>
        <w:t xml:space="preserve"> de efectivo</w:t>
      </w:r>
      <w:r w:rsidR="005F7790">
        <w:rPr>
          <w:rFonts w:ascii="Arial" w:hAnsi="Arial" w:cs="Arial"/>
          <w:bCs/>
          <w:sz w:val="20"/>
          <w:szCs w:val="20"/>
          <w:lang w:val="es-CO"/>
        </w:rPr>
        <w:t xml:space="preserve">, el cálculo de la mejor estimación de las obligaciones debe </w:t>
      </w:r>
      <w:r w:rsidR="000F5A3E">
        <w:rPr>
          <w:rFonts w:ascii="Arial" w:hAnsi="Arial" w:cs="Arial"/>
          <w:bCs/>
          <w:sz w:val="20"/>
          <w:szCs w:val="20"/>
          <w:lang w:val="es-CO"/>
        </w:rPr>
        <w:t>agregar un ajuste por riesgo no financiero</w:t>
      </w:r>
      <w:r w:rsidR="00EB582D">
        <w:rPr>
          <w:rFonts w:ascii="Arial" w:hAnsi="Arial" w:cs="Arial"/>
          <w:bCs/>
          <w:sz w:val="20"/>
          <w:szCs w:val="20"/>
          <w:lang w:val="es-CO"/>
        </w:rPr>
        <w:t xml:space="preserve">, el cual </w:t>
      </w:r>
      <w:r w:rsidR="003806FF">
        <w:rPr>
          <w:rFonts w:ascii="Arial" w:hAnsi="Arial" w:cs="Arial"/>
          <w:bCs/>
          <w:sz w:val="20"/>
          <w:szCs w:val="20"/>
          <w:lang w:val="es-CO"/>
        </w:rPr>
        <w:t xml:space="preserve">captura la </w:t>
      </w:r>
      <w:r w:rsidR="00CF017C">
        <w:rPr>
          <w:rFonts w:ascii="Arial" w:hAnsi="Arial" w:cs="Arial"/>
          <w:bCs/>
          <w:sz w:val="20"/>
          <w:szCs w:val="20"/>
          <w:lang w:val="es-CO"/>
        </w:rPr>
        <w:t>incertidumbre</w:t>
      </w:r>
      <w:r w:rsidR="005F5A87">
        <w:rPr>
          <w:rFonts w:ascii="Arial" w:hAnsi="Arial" w:cs="Arial"/>
          <w:bCs/>
          <w:sz w:val="20"/>
          <w:szCs w:val="20"/>
          <w:lang w:val="es-CO"/>
        </w:rPr>
        <w:t xml:space="preserve"> sobre el monto</w:t>
      </w:r>
      <w:r w:rsidR="00CF017C">
        <w:rPr>
          <w:rFonts w:ascii="Arial" w:hAnsi="Arial" w:cs="Arial"/>
          <w:bCs/>
          <w:sz w:val="20"/>
          <w:szCs w:val="20"/>
          <w:lang w:val="es-CO"/>
        </w:rPr>
        <w:t xml:space="preserve"> </w:t>
      </w:r>
      <w:r w:rsidR="00DB3F2B">
        <w:rPr>
          <w:rFonts w:ascii="Arial" w:hAnsi="Arial" w:cs="Arial"/>
          <w:bCs/>
          <w:sz w:val="20"/>
          <w:szCs w:val="20"/>
          <w:lang w:val="es-CO"/>
        </w:rPr>
        <w:t xml:space="preserve">y calendario de los flujos de efectivo </w:t>
      </w:r>
      <w:r w:rsidR="00460578">
        <w:rPr>
          <w:rFonts w:ascii="Arial" w:hAnsi="Arial" w:cs="Arial"/>
          <w:bCs/>
          <w:sz w:val="20"/>
          <w:szCs w:val="20"/>
          <w:lang w:val="es-CO"/>
        </w:rPr>
        <w:t xml:space="preserve">y </w:t>
      </w:r>
      <w:r w:rsidR="008A02C4">
        <w:rPr>
          <w:rFonts w:ascii="Arial" w:hAnsi="Arial" w:cs="Arial"/>
          <w:bCs/>
          <w:sz w:val="20"/>
          <w:szCs w:val="20"/>
          <w:lang w:val="es-CO"/>
        </w:rPr>
        <w:t xml:space="preserve">se </w:t>
      </w:r>
      <w:r w:rsidR="00EB582D">
        <w:rPr>
          <w:rFonts w:ascii="Arial" w:hAnsi="Arial" w:cs="Arial"/>
          <w:bCs/>
          <w:sz w:val="20"/>
          <w:szCs w:val="20"/>
          <w:lang w:val="es-CO"/>
        </w:rPr>
        <w:t>debe calcular de forma mensual</w:t>
      </w:r>
      <w:r w:rsidR="00EC0BDA">
        <w:rPr>
          <w:rFonts w:ascii="Arial" w:hAnsi="Arial" w:cs="Arial"/>
          <w:bCs/>
          <w:sz w:val="20"/>
          <w:szCs w:val="20"/>
          <w:lang w:val="es-CO"/>
        </w:rPr>
        <w:t>,</w:t>
      </w:r>
      <w:r w:rsidR="00EB582D">
        <w:rPr>
          <w:rFonts w:ascii="Arial" w:hAnsi="Arial" w:cs="Arial"/>
          <w:bCs/>
          <w:sz w:val="20"/>
          <w:szCs w:val="20"/>
          <w:lang w:val="es-CO"/>
        </w:rPr>
        <w:t xml:space="preserve"> según lo señalado en el numeral </w:t>
      </w:r>
      <w:r w:rsidR="00F12858">
        <w:rPr>
          <w:rFonts w:ascii="Arial" w:hAnsi="Arial" w:cs="Arial"/>
          <w:bCs/>
          <w:sz w:val="20"/>
          <w:szCs w:val="20"/>
          <w:lang w:val="es-CO"/>
        </w:rPr>
        <w:t xml:space="preserve">3.4. </w:t>
      </w:r>
      <w:r w:rsidR="00EB582D">
        <w:rPr>
          <w:rFonts w:ascii="Arial" w:hAnsi="Arial" w:cs="Arial"/>
          <w:bCs/>
          <w:sz w:val="20"/>
          <w:szCs w:val="20"/>
          <w:lang w:val="es-CO"/>
        </w:rPr>
        <w:t>del presente capítulo.</w:t>
      </w:r>
    </w:p>
    <w:p w14:paraId="43520F4F" w14:textId="77777777" w:rsidR="0066744E" w:rsidRDefault="0066744E" w:rsidP="0066744E">
      <w:pPr>
        <w:jc w:val="both"/>
        <w:rPr>
          <w:rFonts w:ascii="Arial" w:hAnsi="Arial" w:cs="Arial"/>
          <w:bCs/>
          <w:sz w:val="20"/>
          <w:szCs w:val="20"/>
          <w:lang w:val="es-CO"/>
        </w:rPr>
      </w:pPr>
    </w:p>
    <w:p w14:paraId="40720305" w14:textId="44A17183" w:rsidR="0066744E" w:rsidRPr="00581AA8" w:rsidRDefault="00772480" w:rsidP="00BE2CFC">
      <w:pPr>
        <w:pStyle w:val="Prrafodelista"/>
        <w:numPr>
          <w:ilvl w:val="1"/>
          <w:numId w:val="1"/>
        </w:numPr>
        <w:ind w:left="851" w:hanging="851"/>
        <w:jc w:val="both"/>
        <w:rPr>
          <w:rFonts w:ascii="Arial" w:hAnsi="Arial" w:cs="Arial"/>
          <w:b/>
          <w:sz w:val="20"/>
          <w:szCs w:val="20"/>
          <w:lang w:val="es-CO"/>
        </w:rPr>
      </w:pPr>
      <w:r w:rsidRPr="00581AA8">
        <w:rPr>
          <w:rFonts w:ascii="Arial" w:hAnsi="Arial" w:cs="Arial"/>
          <w:b/>
          <w:sz w:val="20"/>
          <w:szCs w:val="20"/>
          <w:lang w:val="es-CO"/>
        </w:rPr>
        <w:t>Vector de inflación</w:t>
      </w:r>
    </w:p>
    <w:p w14:paraId="73F5AC51" w14:textId="77777777" w:rsidR="0066744E" w:rsidRDefault="0066744E" w:rsidP="0066744E">
      <w:pPr>
        <w:jc w:val="both"/>
        <w:rPr>
          <w:rFonts w:ascii="Arial" w:hAnsi="Arial" w:cs="Arial"/>
          <w:bCs/>
          <w:sz w:val="20"/>
          <w:szCs w:val="20"/>
          <w:lang w:val="es-CO"/>
        </w:rPr>
      </w:pPr>
    </w:p>
    <w:p w14:paraId="6BFD1064" w14:textId="6E42A1BE" w:rsidR="0066744E" w:rsidRDefault="00B95DC1" w:rsidP="0066744E">
      <w:pPr>
        <w:jc w:val="both"/>
        <w:rPr>
          <w:rFonts w:ascii="Arial" w:hAnsi="Arial" w:cs="Arial"/>
          <w:bCs/>
          <w:sz w:val="20"/>
          <w:szCs w:val="20"/>
          <w:lang w:val="es-CO"/>
        </w:rPr>
      </w:pPr>
      <w:r>
        <w:rPr>
          <w:rFonts w:ascii="Arial" w:hAnsi="Arial" w:cs="Arial"/>
          <w:bCs/>
          <w:sz w:val="20"/>
          <w:szCs w:val="20"/>
          <w:lang w:val="es-CO"/>
        </w:rPr>
        <w:t xml:space="preserve">Para efectos de la actualización del valor de los flujos de efectivo </w:t>
      </w:r>
      <w:r w:rsidR="001A1100">
        <w:rPr>
          <w:rFonts w:ascii="Arial" w:hAnsi="Arial" w:cs="Arial"/>
          <w:bCs/>
          <w:sz w:val="20"/>
          <w:szCs w:val="20"/>
          <w:lang w:val="es-CO"/>
        </w:rPr>
        <w:t xml:space="preserve">según lo señalado en el </w:t>
      </w:r>
      <w:r w:rsidR="0013009E">
        <w:rPr>
          <w:rFonts w:ascii="Arial" w:hAnsi="Arial" w:cs="Arial"/>
          <w:bCs/>
          <w:sz w:val="20"/>
          <w:szCs w:val="20"/>
          <w:lang w:val="es-CO"/>
        </w:rPr>
        <w:t>ordinal (</w:t>
      </w:r>
      <w:proofErr w:type="spellStart"/>
      <w:r w:rsidR="0013009E">
        <w:rPr>
          <w:rFonts w:ascii="Arial" w:hAnsi="Arial" w:cs="Arial"/>
          <w:bCs/>
          <w:sz w:val="20"/>
          <w:szCs w:val="20"/>
          <w:lang w:val="es-CO"/>
        </w:rPr>
        <w:t>iii</w:t>
      </w:r>
      <w:proofErr w:type="spellEnd"/>
      <w:r w:rsidR="0013009E">
        <w:rPr>
          <w:rFonts w:ascii="Arial" w:hAnsi="Arial" w:cs="Arial"/>
          <w:bCs/>
          <w:sz w:val="20"/>
          <w:szCs w:val="20"/>
          <w:lang w:val="es-CO"/>
        </w:rPr>
        <w:t>) del literal (a</w:t>
      </w:r>
      <w:r w:rsidR="0013009E" w:rsidRPr="007A2C69">
        <w:rPr>
          <w:rFonts w:ascii="Arial" w:hAnsi="Arial" w:cs="Arial"/>
          <w:bCs/>
          <w:sz w:val="20"/>
          <w:szCs w:val="20"/>
          <w:lang w:val="es-CO"/>
        </w:rPr>
        <w:t>) del numeral 3 del presente capítulo</w:t>
      </w:r>
      <w:r w:rsidR="006174AA" w:rsidRPr="007A2C69">
        <w:rPr>
          <w:rFonts w:ascii="Arial" w:hAnsi="Arial" w:cs="Arial"/>
          <w:bCs/>
          <w:sz w:val="20"/>
          <w:szCs w:val="20"/>
          <w:lang w:val="es-CO"/>
        </w:rPr>
        <w:t xml:space="preserve">, las entidades deben aplicar </w:t>
      </w:r>
      <w:r w:rsidR="00377210" w:rsidRPr="007A2C69">
        <w:rPr>
          <w:rFonts w:ascii="Arial" w:hAnsi="Arial" w:cs="Arial"/>
          <w:bCs/>
          <w:sz w:val="20"/>
          <w:szCs w:val="20"/>
          <w:lang w:val="es-CO"/>
        </w:rPr>
        <w:t xml:space="preserve">el vector de inflación </w:t>
      </w:r>
      <w:r w:rsidR="006B2082" w:rsidRPr="007A2C69">
        <w:rPr>
          <w:rFonts w:ascii="Arial" w:hAnsi="Arial" w:cs="Arial"/>
          <w:bCs/>
          <w:sz w:val="20"/>
          <w:szCs w:val="20"/>
          <w:lang w:val="es-CO"/>
        </w:rPr>
        <w:t xml:space="preserve">publicado </w:t>
      </w:r>
      <w:r w:rsidR="00910EA7" w:rsidRPr="007A2C69">
        <w:rPr>
          <w:rFonts w:ascii="Arial" w:hAnsi="Arial" w:cs="Arial"/>
          <w:bCs/>
          <w:sz w:val="20"/>
          <w:szCs w:val="20"/>
          <w:lang w:val="es-CO"/>
        </w:rPr>
        <w:t xml:space="preserve">de </w:t>
      </w:r>
      <w:r w:rsidR="002B6E0A" w:rsidRPr="007A2C69">
        <w:rPr>
          <w:rFonts w:ascii="Arial" w:hAnsi="Arial" w:cs="Arial"/>
          <w:bCs/>
          <w:sz w:val="20"/>
          <w:szCs w:val="20"/>
          <w:lang w:val="es-CO"/>
        </w:rPr>
        <w:t xml:space="preserve">forma mensual </w:t>
      </w:r>
      <w:r w:rsidR="001A116A" w:rsidRPr="007A2C69">
        <w:rPr>
          <w:rFonts w:ascii="Arial" w:hAnsi="Arial" w:cs="Arial"/>
          <w:bCs/>
          <w:sz w:val="20"/>
          <w:szCs w:val="20"/>
          <w:lang w:val="es-CO"/>
        </w:rPr>
        <w:t>por la SFC.</w:t>
      </w:r>
    </w:p>
    <w:p w14:paraId="02D40633" w14:textId="77777777" w:rsidR="001A116A" w:rsidRDefault="001A116A" w:rsidP="0066744E">
      <w:pPr>
        <w:jc w:val="both"/>
        <w:rPr>
          <w:rFonts w:ascii="Arial" w:hAnsi="Arial" w:cs="Arial"/>
          <w:bCs/>
          <w:sz w:val="20"/>
          <w:szCs w:val="20"/>
          <w:lang w:val="es-CO"/>
        </w:rPr>
      </w:pPr>
    </w:p>
    <w:p w14:paraId="1D6120AE" w14:textId="4DE89280" w:rsidR="00A72AC8" w:rsidRDefault="000D6781" w:rsidP="00AF703F">
      <w:pPr>
        <w:jc w:val="both"/>
        <w:rPr>
          <w:rFonts w:ascii="Arial" w:hAnsi="Arial" w:cs="Arial"/>
          <w:bCs/>
          <w:sz w:val="20"/>
          <w:szCs w:val="20"/>
          <w:lang w:val="es-CO"/>
        </w:rPr>
      </w:pPr>
      <w:r>
        <w:rPr>
          <w:rFonts w:ascii="Arial" w:hAnsi="Arial" w:cs="Arial"/>
          <w:bCs/>
          <w:sz w:val="20"/>
          <w:szCs w:val="20"/>
          <w:lang w:val="es-CO"/>
        </w:rPr>
        <w:t xml:space="preserve">De forma alternativa, las entidades podrán utilizar un vector de inflación </w:t>
      </w:r>
      <w:r w:rsidR="000726EC">
        <w:rPr>
          <w:rFonts w:ascii="Arial" w:hAnsi="Arial" w:cs="Arial"/>
          <w:bCs/>
          <w:sz w:val="20"/>
          <w:szCs w:val="20"/>
          <w:lang w:val="es-CO"/>
        </w:rPr>
        <w:t xml:space="preserve">calculado internamente, de acuerdo con una metodología </w:t>
      </w:r>
      <w:r w:rsidR="00512982">
        <w:rPr>
          <w:rFonts w:ascii="Arial" w:hAnsi="Arial" w:cs="Arial"/>
          <w:bCs/>
          <w:sz w:val="20"/>
          <w:szCs w:val="20"/>
          <w:lang w:val="es-CO"/>
        </w:rPr>
        <w:t>con validación teórica y prácti</w:t>
      </w:r>
      <w:r w:rsidR="00E24E0A">
        <w:rPr>
          <w:rFonts w:ascii="Arial" w:hAnsi="Arial" w:cs="Arial"/>
          <w:bCs/>
          <w:sz w:val="20"/>
          <w:szCs w:val="20"/>
          <w:lang w:val="es-CO"/>
        </w:rPr>
        <w:t>ca</w:t>
      </w:r>
      <w:r w:rsidR="00C409E2">
        <w:rPr>
          <w:rFonts w:ascii="Arial" w:hAnsi="Arial" w:cs="Arial"/>
          <w:bCs/>
          <w:sz w:val="20"/>
          <w:szCs w:val="20"/>
          <w:lang w:val="es-CO"/>
        </w:rPr>
        <w:t>, previa no objeción de la SFC</w:t>
      </w:r>
      <w:r w:rsidR="00B50578">
        <w:rPr>
          <w:rFonts w:ascii="Arial" w:hAnsi="Arial" w:cs="Arial"/>
          <w:bCs/>
          <w:sz w:val="20"/>
          <w:szCs w:val="20"/>
          <w:lang w:val="es-CO"/>
        </w:rPr>
        <w:t xml:space="preserve"> y siempre que este hecho sea debidamente revelado</w:t>
      </w:r>
      <w:r w:rsidR="00E24E0A">
        <w:rPr>
          <w:rFonts w:ascii="Arial" w:hAnsi="Arial" w:cs="Arial"/>
          <w:bCs/>
          <w:sz w:val="20"/>
          <w:szCs w:val="20"/>
          <w:lang w:val="es-CO"/>
        </w:rPr>
        <w:t xml:space="preserve">. Para este propósito, </w:t>
      </w:r>
      <w:r w:rsidR="00183FB3">
        <w:rPr>
          <w:rFonts w:ascii="Arial" w:hAnsi="Arial" w:cs="Arial"/>
          <w:bCs/>
          <w:sz w:val="20"/>
          <w:szCs w:val="20"/>
          <w:lang w:val="es-CO"/>
        </w:rPr>
        <w:t>con anteri</w:t>
      </w:r>
      <w:r w:rsidR="00B20517">
        <w:rPr>
          <w:rFonts w:ascii="Arial" w:hAnsi="Arial" w:cs="Arial"/>
          <w:bCs/>
          <w:sz w:val="20"/>
          <w:szCs w:val="20"/>
          <w:lang w:val="es-CO"/>
        </w:rPr>
        <w:t>oridad</w:t>
      </w:r>
      <w:r w:rsidR="009C178F">
        <w:rPr>
          <w:rFonts w:ascii="Arial" w:hAnsi="Arial" w:cs="Arial"/>
          <w:bCs/>
          <w:sz w:val="20"/>
          <w:szCs w:val="20"/>
          <w:lang w:val="es-CO"/>
        </w:rPr>
        <w:t xml:space="preserve"> a la implementación del vector propio, las entidades deben </w:t>
      </w:r>
      <w:r w:rsidR="00A561B0">
        <w:rPr>
          <w:rFonts w:ascii="Arial" w:hAnsi="Arial" w:cs="Arial"/>
          <w:bCs/>
          <w:sz w:val="20"/>
          <w:szCs w:val="20"/>
          <w:lang w:val="es-CO"/>
        </w:rPr>
        <w:t xml:space="preserve">remitir a la SFC </w:t>
      </w:r>
      <w:r w:rsidR="00B45399">
        <w:rPr>
          <w:rFonts w:ascii="Arial" w:hAnsi="Arial" w:cs="Arial"/>
          <w:bCs/>
          <w:sz w:val="20"/>
          <w:szCs w:val="20"/>
          <w:lang w:val="es-CO"/>
        </w:rPr>
        <w:t xml:space="preserve">una solicitud de no objeción, </w:t>
      </w:r>
      <w:r w:rsidR="008067E9">
        <w:rPr>
          <w:rFonts w:ascii="Arial" w:hAnsi="Arial" w:cs="Arial"/>
          <w:bCs/>
          <w:sz w:val="20"/>
          <w:szCs w:val="20"/>
          <w:lang w:val="es-CO"/>
        </w:rPr>
        <w:t xml:space="preserve">que </w:t>
      </w:r>
      <w:r w:rsidR="00B45399">
        <w:rPr>
          <w:rFonts w:ascii="Arial" w:hAnsi="Arial" w:cs="Arial"/>
          <w:bCs/>
          <w:sz w:val="20"/>
          <w:szCs w:val="20"/>
          <w:lang w:val="es-CO"/>
        </w:rPr>
        <w:t>incluy</w:t>
      </w:r>
      <w:r w:rsidR="008067E9">
        <w:rPr>
          <w:rFonts w:ascii="Arial" w:hAnsi="Arial" w:cs="Arial"/>
          <w:bCs/>
          <w:sz w:val="20"/>
          <w:szCs w:val="20"/>
          <w:lang w:val="es-CO"/>
        </w:rPr>
        <w:t xml:space="preserve">a </w:t>
      </w:r>
      <w:r w:rsidR="00B45399">
        <w:rPr>
          <w:rFonts w:ascii="Arial" w:hAnsi="Arial" w:cs="Arial"/>
          <w:bCs/>
          <w:sz w:val="20"/>
          <w:szCs w:val="20"/>
          <w:lang w:val="es-CO"/>
        </w:rPr>
        <w:t xml:space="preserve">como mínimo: (i) </w:t>
      </w:r>
      <w:r w:rsidR="00A50828">
        <w:rPr>
          <w:rFonts w:ascii="Arial" w:hAnsi="Arial" w:cs="Arial"/>
          <w:bCs/>
          <w:sz w:val="20"/>
          <w:szCs w:val="20"/>
          <w:lang w:val="es-CO"/>
        </w:rPr>
        <w:t xml:space="preserve">motivación de la solicitud y </w:t>
      </w:r>
      <w:r w:rsidR="00C95984">
        <w:rPr>
          <w:rFonts w:ascii="Arial" w:hAnsi="Arial" w:cs="Arial"/>
          <w:bCs/>
          <w:sz w:val="20"/>
          <w:szCs w:val="20"/>
          <w:lang w:val="es-CO"/>
        </w:rPr>
        <w:t xml:space="preserve">explicación </w:t>
      </w:r>
      <w:r w:rsidR="00A71E99">
        <w:rPr>
          <w:rFonts w:ascii="Arial" w:hAnsi="Arial" w:cs="Arial"/>
          <w:bCs/>
          <w:sz w:val="20"/>
          <w:szCs w:val="20"/>
          <w:lang w:val="es-CO"/>
        </w:rPr>
        <w:t xml:space="preserve">detallada </w:t>
      </w:r>
      <w:r w:rsidR="00C95984">
        <w:rPr>
          <w:rFonts w:ascii="Arial" w:hAnsi="Arial" w:cs="Arial"/>
          <w:bCs/>
          <w:sz w:val="20"/>
          <w:szCs w:val="20"/>
          <w:lang w:val="es-CO"/>
        </w:rPr>
        <w:t xml:space="preserve">de la metodología </w:t>
      </w:r>
      <w:r w:rsidR="00A71E99">
        <w:rPr>
          <w:rFonts w:ascii="Arial" w:hAnsi="Arial" w:cs="Arial"/>
          <w:bCs/>
          <w:sz w:val="20"/>
          <w:szCs w:val="20"/>
          <w:lang w:val="es-CO"/>
        </w:rPr>
        <w:t>utilizada para calcular el vector de inflación; (</w:t>
      </w:r>
      <w:proofErr w:type="spellStart"/>
      <w:r w:rsidR="00A71E99">
        <w:rPr>
          <w:rFonts w:ascii="Arial" w:hAnsi="Arial" w:cs="Arial"/>
          <w:bCs/>
          <w:sz w:val="20"/>
          <w:szCs w:val="20"/>
          <w:lang w:val="es-CO"/>
        </w:rPr>
        <w:t>ii</w:t>
      </w:r>
      <w:proofErr w:type="spellEnd"/>
      <w:r w:rsidR="00A71E99">
        <w:rPr>
          <w:rFonts w:ascii="Arial" w:hAnsi="Arial" w:cs="Arial"/>
          <w:bCs/>
          <w:sz w:val="20"/>
          <w:szCs w:val="20"/>
          <w:lang w:val="es-CO"/>
        </w:rPr>
        <w:t xml:space="preserve">) </w:t>
      </w:r>
      <w:r w:rsidR="006F48C4">
        <w:rPr>
          <w:rFonts w:ascii="Arial" w:hAnsi="Arial" w:cs="Arial"/>
          <w:bCs/>
          <w:sz w:val="20"/>
          <w:szCs w:val="20"/>
          <w:lang w:val="es-CO"/>
        </w:rPr>
        <w:t xml:space="preserve">proyecciones de la inflación a partir </w:t>
      </w:r>
      <w:r w:rsidR="00DC6803">
        <w:rPr>
          <w:rFonts w:ascii="Arial" w:hAnsi="Arial" w:cs="Arial"/>
          <w:bCs/>
          <w:sz w:val="20"/>
          <w:szCs w:val="20"/>
          <w:lang w:val="es-CO"/>
        </w:rPr>
        <w:t xml:space="preserve">de la metodología definida </w:t>
      </w:r>
      <w:r w:rsidR="00480123">
        <w:rPr>
          <w:rFonts w:ascii="Arial" w:hAnsi="Arial" w:cs="Arial"/>
          <w:bCs/>
          <w:sz w:val="20"/>
          <w:szCs w:val="20"/>
          <w:lang w:val="es-CO"/>
        </w:rPr>
        <w:t xml:space="preserve">por la entidad </w:t>
      </w:r>
      <w:r w:rsidR="00582BB0">
        <w:rPr>
          <w:rFonts w:ascii="Arial" w:hAnsi="Arial" w:cs="Arial"/>
          <w:bCs/>
          <w:sz w:val="20"/>
          <w:szCs w:val="20"/>
          <w:lang w:val="es-CO"/>
        </w:rPr>
        <w:t xml:space="preserve">para un periodo </w:t>
      </w:r>
      <w:r w:rsidR="005815F9">
        <w:rPr>
          <w:rFonts w:ascii="Arial" w:hAnsi="Arial" w:cs="Arial"/>
          <w:bCs/>
          <w:sz w:val="20"/>
          <w:szCs w:val="20"/>
          <w:lang w:val="es-CO"/>
        </w:rPr>
        <w:t xml:space="preserve">igual al período de tiempo requerido para la estimación del pasivo o </w:t>
      </w:r>
      <w:r w:rsidR="005F04F1">
        <w:rPr>
          <w:rFonts w:ascii="Arial" w:hAnsi="Arial" w:cs="Arial"/>
          <w:bCs/>
          <w:sz w:val="20"/>
          <w:szCs w:val="20"/>
          <w:lang w:val="es-CO"/>
        </w:rPr>
        <w:t xml:space="preserve">como mínimo </w:t>
      </w:r>
      <w:r w:rsidR="005815F9">
        <w:rPr>
          <w:rFonts w:ascii="Arial" w:hAnsi="Arial" w:cs="Arial"/>
          <w:bCs/>
          <w:sz w:val="20"/>
          <w:szCs w:val="20"/>
          <w:lang w:val="es-CO"/>
        </w:rPr>
        <w:t xml:space="preserve">para un período </w:t>
      </w:r>
      <w:r w:rsidR="00A163EA">
        <w:rPr>
          <w:rFonts w:ascii="Arial" w:hAnsi="Arial" w:cs="Arial"/>
          <w:bCs/>
          <w:sz w:val="20"/>
          <w:szCs w:val="20"/>
          <w:lang w:val="es-CO"/>
        </w:rPr>
        <w:t xml:space="preserve">igual al establecido </w:t>
      </w:r>
      <w:r w:rsidR="00485B24">
        <w:rPr>
          <w:rFonts w:ascii="Arial" w:hAnsi="Arial" w:cs="Arial"/>
          <w:bCs/>
          <w:sz w:val="20"/>
          <w:szCs w:val="20"/>
          <w:lang w:val="es-CO"/>
        </w:rPr>
        <w:t xml:space="preserve">en la metodología del vector </w:t>
      </w:r>
      <w:r w:rsidR="00DC7E20">
        <w:rPr>
          <w:rFonts w:ascii="Arial" w:hAnsi="Arial" w:cs="Arial"/>
          <w:bCs/>
          <w:sz w:val="20"/>
          <w:szCs w:val="20"/>
          <w:lang w:val="es-CO"/>
        </w:rPr>
        <w:t xml:space="preserve">de inflación </w:t>
      </w:r>
      <w:r w:rsidR="005F04F1">
        <w:rPr>
          <w:rFonts w:ascii="Arial" w:hAnsi="Arial" w:cs="Arial"/>
          <w:bCs/>
          <w:sz w:val="20"/>
          <w:szCs w:val="20"/>
          <w:lang w:val="es-CO"/>
        </w:rPr>
        <w:t>definido</w:t>
      </w:r>
      <w:r w:rsidR="00485B24">
        <w:rPr>
          <w:rFonts w:ascii="Arial" w:hAnsi="Arial" w:cs="Arial"/>
          <w:bCs/>
          <w:sz w:val="20"/>
          <w:szCs w:val="20"/>
          <w:lang w:val="es-CO"/>
        </w:rPr>
        <w:t xml:space="preserve"> </w:t>
      </w:r>
      <w:r w:rsidR="00A163EA">
        <w:rPr>
          <w:rFonts w:ascii="Arial" w:hAnsi="Arial" w:cs="Arial"/>
          <w:bCs/>
          <w:sz w:val="20"/>
          <w:szCs w:val="20"/>
          <w:lang w:val="es-CO"/>
        </w:rPr>
        <w:t>por la SFC</w:t>
      </w:r>
      <w:r w:rsidR="00582BB0">
        <w:rPr>
          <w:rFonts w:ascii="Arial" w:hAnsi="Arial" w:cs="Arial"/>
          <w:bCs/>
          <w:sz w:val="20"/>
          <w:szCs w:val="20"/>
          <w:lang w:val="es-CO"/>
        </w:rPr>
        <w:t>;</w:t>
      </w:r>
      <w:r w:rsidR="006F48C4">
        <w:rPr>
          <w:rFonts w:ascii="Arial" w:hAnsi="Arial" w:cs="Arial"/>
          <w:bCs/>
          <w:sz w:val="20"/>
          <w:szCs w:val="20"/>
          <w:lang w:val="es-CO"/>
        </w:rPr>
        <w:t xml:space="preserve"> (</w:t>
      </w:r>
      <w:proofErr w:type="spellStart"/>
      <w:r w:rsidR="006F48C4">
        <w:rPr>
          <w:rFonts w:ascii="Arial" w:hAnsi="Arial" w:cs="Arial"/>
          <w:bCs/>
          <w:sz w:val="20"/>
          <w:szCs w:val="20"/>
          <w:lang w:val="es-CO"/>
        </w:rPr>
        <w:t>iii</w:t>
      </w:r>
      <w:proofErr w:type="spellEnd"/>
      <w:r w:rsidR="006F48C4">
        <w:rPr>
          <w:rFonts w:ascii="Arial" w:hAnsi="Arial" w:cs="Arial"/>
          <w:bCs/>
          <w:sz w:val="20"/>
          <w:szCs w:val="20"/>
          <w:lang w:val="es-CO"/>
        </w:rPr>
        <w:t>)</w:t>
      </w:r>
      <w:r w:rsidR="0032601E">
        <w:rPr>
          <w:rFonts w:ascii="Arial" w:hAnsi="Arial" w:cs="Arial"/>
          <w:bCs/>
          <w:sz w:val="20"/>
          <w:szCs w:val="20"/>
          <w:lang w:val="es-CO"/>
        </w:rPr>
        <w:t xml:space="preserve"> comparación de las proyecciones </w:t>
      </w:r>
      <w:r w:rsidR="00436D98">
        <w:rPr>
          <w:rFonts w:ascii="Arial" w:hAnsi="Arial" w:cs="Arial"/>
          <w:bCs/>
          <w:sz w:val="20"/>
          <w:szCs w:val="20"/>
          <w:lang w:val="es-CO"/>
        </w:rPr>
        <w:t xml:space="preserve">de inflación de la entidad </w:t>
      </w:r>
      <w:r w:rsidR="00770CC6">
        <w:rPr>
          <w:rFonts w:ascii="Arial" w:hAnsi="Arial" w:cs="Arial"/>
          <w:bCs/>
          <w:sz w:val="20"/>
          <w:szCs w:val="20"/>
          <w:lang w:val="es-CO"/>
        </w:rPr>
        <w:t xml:space="preserve">frente al vector publicado por la SFC y </w:t>
      </w:r>
      <w:r w:rsidR="00C663D6">
        <w:rPr>
          <w:rFonts w:ascii="Arial" w:hAnsi="Arial" w:cs="Arial"/>
          <w:bCs/>
          <w:sz w:val="20"/>
          <w:szCs w:val="20"/>
          <w:lang w:val="es-CO"/>
        </w:rPr>
        <w:t>los pronósticos publicados por</w:t>
      </w:r>
      <w:r w:rsidR="00A56D88">
        <w:rPr>
          <w:rFonts w:ascii="Arial" w:hAnsi="Arial" w:cs="Arial"/>
          <w:bCs/>
          <w:sz w:val="20"/>
          <w:szCs w:val="20"/>
          <w:lang w:val="es-CO"/>
        </w:rPr>
        <w:t xml:space="preserve"> el Banco de la República</w:t>
      </w:r>
      <w:r w:rsidR="00436D98">
        <w:rPr>
          <w:rFonts w:ascii="Arial" w:hAnsi="Arial" w:cs="Arial"/>
          <w:bCs/>
          <w:sz w:val="20"/>
          <w:szCs w:val="20"/>
          <w:lang w:val="es-CO"/>
        </w:rPr>
        <w:t>; y (</w:t>
      </w:r>
      <w:proofErr w:type="spellStart"/>
      <w:r w:rsidR="00436D98">
        <w:rPr>
          <w:rFonts w:ascii="Arial" w:hAnsi="Arial" w:cs="Arial"/>
          <w:bCs/>
          <w:sz w:val="20"/>
          <w:szCs w:val="20"/>
          <w:lang w:val="es-CO"/>
        </w:rPr>
        <w:t>iv</w:t>
      </w:r>
      <w:proofErr w:type="spellEnd"/>
      <w:r w:rsidR="00436D98">
        <w:rPr>
          <w:rFonts w:ascii="Arial" w:hAnsi="Arial" w:cs="Arial"/>
          <w:bCs/>
          <w:sz w:val="20"/>
          <w:szCs w:val="20"/>
          <w:lang w:val="es-CO"/>
        </w:rPr>
        <w:t>)</w:t>
      </w:r>
      <w:r w:rsidR="00285466">
        <w:rPr>
          <w:rFonts w:ascii="Arial" w:hAnsi="Arial" w:cs="Arial"/>
          <w:bCs/>
          <w:sz w:val="20"/>
          <w:szCs w:val="20"/>
          <w:lang w:val="es-CO"/>
        </w:rPr>
        <w:t xml:space="preserve"> impactos </w:t>
      </w:r>
      <w:r w:rsidR="00C21B66">
        <w:rPr>
          <w:rFonts w:ascii="Arial" w:hAnsi="Arial" w:cs="Arial"/>
          <w:bCs/>
          <w:sz w:val="20"/>
          <w:szCs w:val="20"/>
          <w:lang w:val="es-CO"/>
        </w:rPr>
        <w:t xml:space="preserve">estimados </w:t>
      </w:r>
      <w:r w:rsidR="00285466">
        <w:rPr>
          <w:rFonts w:ascii="Arial" w:hAnsi="Arial" w:cs="Arial"/>
          <w:bCs/>
          <w:sz w:val="20"/>
          <w:szCs w:val="20"/>
          <w:lang w:val="es-CO"/>
        </w:rPr>
        <w:t xml:space="preserve">por </w:t>
      </w:r>
      <w:r w:rsidR="00C21B66">
        <w:rPr>
          <w:rFonts w:ascii="Arial" w:hAnsi="Arial" w:cs="Arial"/>
          <w:bCs/>
          <w:sz w:val="20"/>
          <w:szCs w:val="20"/>
          <w:lang w:val="es-CO"/>
        </w:rPr>
        <w:t xml:space="preserve">la </w:t>
      </w:r>
      <w:r w:rsidR="00604532">
        <w:rPr>
          <w:rFonts w:ascii="Arial" w:hAnsi="Arial" w:cs="Arial"/>
          <w:bCs/>
          <w:sz w:val="20"/>
          <w:szCs w:val="20"/>
          <w:lang w:val="es-CO"/>
        </w:rPr>
        <w:t xml:space="preserve">implementación </w:t>
      </w:r>
      <w:r w:rsidR="00A57390">
        <w:rPr>
          <w:rFonts w:ascii="Arial" w:hAnsi="Arial" w:cs="Arial"/>
          <w:bCs/>
          <w:sz w:val="20"/>
          <w:szCs w:val="20"/>
          <w:lang w:val="es-CO"/>
        </w:rPr>
        <w:t xml:space="preserve">de </w:t>
      </w:r>
      <w:r w:rsidR="00285466">
        <w:rPr>
          <w:rFonts w:ascii="Arial" w:hAnsi="Arial" w:cs="Arial"/>
          <w:bCs/>
          <w:sz w:val="20"/>
          <w:szCs w:val="20"/>
          <w:lang w:val="es-CO"/>
        </w:rPr>
        <w:t>la metodología</w:t>
      </w:r>
      <w:r w:rsidR="009F1A73">
        <w:rPr>
          <w:rFonts w:ascii="Arial" w:hAnsi="Arial" w:cs="Arial"/>
          <w:bCs/>
          <w:sz w:val="20"/>
          <w:szCs w:val="20"/>
          <w:lang w:val="es-CO"/>
        </w:rPr>
        <w:t xml:space="preserve"> </w:t>
      </w:r>
      <w:r w:rsidR="00D41F72">
        <w:rPr>
          <w:rFonts w:ascii="Arial" w:hAnsi="Arial" w:cs="Arial"/>
          <w:bCs/>
          <w:sz w:val="20"/>
          <w:szCs w:val="20"/>
          <w:lang w:val="es-CO"/>
        </w:rPr>
        <w:t xml:space="preserve">interna </w:t>
      </w:r>
      <w:r w:rsidR="009F1A73">
        <w:rPr>
          <w:rFonts w:ascii="Arial" w:hAnsi="Arial" w:cs="Arial"/>
          <w:bCs/>
          <w:sz w:val="20"/>
          <w:szCs w:val="20"/>
          <w:lang w:val="es-CO"/>
        </w:rPr>
        <w:t xml:space="preserve">y diferencias frente a los impactos </w:t>
      </w:r>
      <w:r w:rsidR="00604532">
        <w:rPr>
          <w:rFonts w:ascii="Arial" w:hAnsi="Arial" w:cs="Arial"/>
          <w:bCs/>
          <w:sz w:val="20"/>
          <w:szCs w:val="20"/>
          <w:lang w:val="es-CO"/>
        </w:rPr>
        <w:t>por la aplicación</w:t>
      </w:r>
      <w:r w:rsidR="009F1A73">
        <w:rPr>
          <w:rFonts w:ascii="Arial" w:hAnsi="Arial" w:cs="Arial"/>
          <w:bCs/>
          <w:sz w:val="20"/>
          <w:szCs w:val="20"/>
          <w:lang w:val="es-CO"/>
        </w:rPr>
        <w:t xml:space="preserve"> </w:t>
      </w:r>
      <w:r w:rsidR="00E32550">
        <w:rPr>
          <w:rFonts w:ascii="Arial" w:hAnsi="Arial" w:cs="Arial"/>
          <w:bCs/>
          <w:sz w:val="20"/>
          <w:szCs w:val="20"/>
          <w:lang w:val="es-CO"/>
        </w:rPr>
        <w:t>d</w:t>
      </w:r>
      <w:r w:rsidR="009F1A73">
        <w:rPr>
          <w:rFonts w:ascii="Arial" w:hAnsi="Arial" w:cs="Arial"/>
          <w:bCs/>
          <w:sz w:val="20"/>
          <w:szCs w:val="20"/>
          <w:lang w:val="es-CO"/>
        </w:rPr>
        <w:t>el vector publicado por la SFC</w:t>
      </w:r>
      <w:r w:rsidR="00C21B66">
        <w:rPr>
          <w:rFonts w:ascii="Arial" w:hAnsi="Arial" w:cs="Arial"/>
          <w:bCs/>
          <w:sz w:val="20"/>
          <w:szCs w:val="20"/>
          <w:lang w:val="es-CO"/>
        </w:rPr>
        <w:t>.</w:t>
      </w:r>
    </w:p>
    <w:p w14:paraId="7171084A" w14:textId="77777777" w:rsidR="00DD4F50" w:rsidRDefault="00DD4F50" w:rsidP="00AF703F">
      <w:pPr>
        <w:jc w:val="both"/>
        <w:rPr>
          <w:rFonts w:ascii="Arial" w:hAnsi="Arial" w:cs="Arial"/>
          <w:bCs/>
          <w:sz w:val="20"/>
          <w:szCs w:val="20"/>
          <w:lang w:val="es-CO"/>
        </w:rPr>
      </w:pPr>
    </w:p>
    <w:p w14:paraId="7DAE7149" w14:textId="4F60C9A8" w:rsidR="00AF703F" w:rsidRPr="00581AA8" w:rsidRDefault="00AF703F" w:rsidP="00BE2CFC">
      <w:pPr>
        <w:pStyle w:val="Prrafodelista"/>
        <w:numPr>
          <w:ilvl w:val="1"/>
          <w:numId w:val="1"/>
        </w:numPr>
        <w:ind w:left="851" w:hanging="851"/>
        <w:jc w:val="both"/>
        <w:rPr>
          <w:rFonts w:ascii="Arial" w:hAnsi="Arial" w:cs="Arial"/>
          <w:b/>
          <w:sz w:val="20"/>
          <w:szCs w:val="20"/>
          <w:lang w:val="es-CO"/>
        </w:rPr>
      </w:pPr>
      <w:r w:rsidRPr="00581AA8">
        <w:rPr>
          <w:rFonts w:ascii="Arial" w:hAnsi="Arial" w:cs="Arial"/>
          <w:b/>
          <w:sz w:val="20"/>
          <w:szCs w:val="20"/>
          <w:lang w:val="es-CO"/>
        </w:rPr>
        <w:t xml:space="preserve">Vector de </w:t>
      </w:r>
      <w:r w:rsidR="0038711A">
        <w:rPr>
          <w:rFonts w:ascii="Arial" w:hAnsi="Arial" w:cs="Arial"/>
          <w:b/>
          <w:sz w:val="20"/>
          <w:szCs w:val="20"/>
          <w:lang w:val="es-CO"/>
        </w:rPr>
        <w:t>salario mínimo</w:t>
      </w:r>
    </w:p>
    <w:p w14:paraId="283CF389" w14:textId="77777777" w:rsidR="00AF703F" w:rsidRDefault="00AF703F" w:rsidP="00AF703F">
      <w:pPr>
        <w:jc w:val="both"/>
        <w:rPr>
          <w:rFonts w:ascii="Arial" w:hAnsi="Arial" w:cs="Arial"/>
          <w:bCs/>
          <w:sz w:val="20"/>
          <w:szCs w:val="20"/>
          <w:lang w:val="es-CO"/>
        </w:rPr>
      </w:pPr>
    </w:p>
    <w:p w14:paraId="069BE5B5" w14:textId="753D919B" w:rsidR="00A90443" w:rsidRDefault="0080773B" w:rsidP="0089352B">
      <w:pPr>
        <w:jc w:val="both"/>
        <w:rPr>
          <w:rFonts w:ascii="Arial" w:hAnsi="Arial" w:cs="Arial"/>
          <w:bCs/>
          <w:sz w:val="20"/>
          <w:szCs w:val="20"/>
          <w:lang w:val="es-CO"/>
        </w:rPr>
      </w:pPr>
      <w:r>
        <w:rPr>
          <w:rFonts w:ascii="Arial" w:hAnsi="Arial" w:cs="Arial"/>
          <w:bCs/>
          <w:sz w:val="20"/>
          <w:szCs w:val="20"/>
          <w:lang w:val="es-CO"/>
        </w:rPr>
        <w:t xml:space="preserve">En consideración de lo </w:t>
      </w:r>
      <w:r w:rsidR="007B29AB">
        <w:rPr>
          <w:rFonts w:ascii="Arial" w:hAnsi="Arial" w:cs="Arial"/>
          <w:bCs/>
          <w:sz w:val="20"/>
          <w:szCs w:val="20"/>
          <w:lang w:val="es-CO"/>
        </w:rPr>
        <w:t>señalado en</w:t>
      </w:r>
      <w:r w:rsidR="000A2D4C">
        <w:rPr>
          <w:rFonts w:ascii="Arial" w:hAnsi="Arial" w:cs="Arial"/>
          <w:bCs/>
          <w:sz w:val="20"/>
          <w:szCs w:val="20"/>
          <w:lang w:val="es-CO"/>
        </w:rPr>
        <w:t xml:space="preserve"> el ordinal (</w:t>
      </w:r>
      <w:proofErr w:type="spellStart"/>
      <w:r w:rsidR="000A2D4C">
        <w:rPr>
          <w:rFonts w:ascii="Arial" w:hAnsi="Arial" w:cs="Arial"/>
          <w:bCs/>
          <w:sz w:val="20"/>
          <w:szCs w:val="20"/>
          <w:lang w:val="es-CO"/>
        </w:rPr>
        <w:t>iii</w:t>
      </w:r>
      <w:proofErr w:type="spellEnd"/>
      <w:r w:rsidR="000A2D4C">
        <w:rPr>
          <w:rFonts w:ascii="Arial" w:hAnsi="Arial" w:cs="Arial"/>
          <w:bCs/>
          <w:sz w:val="20"/>
          <w:szCs w:val="20"/>
          <w:lang w:val="es-CO"/>
        </w:rPr>
        <w:t>) del literal (a) del numeral 3 del presente capítulo</w:t>
      </w:r>
      <w:r w:rsidR="007B29AB">
        <w:rPr>
          <w:rFonts w:ascii="Arial" w:hAnsi="Arial" w:cs="Arial"/>
          <w:bCs/>
          <w:sz w:val="20"/>
          <w:szCs w:val="20"/>
          <w:lang w:val="es-CO"/>
        </w:rPr>
        <w:t xml:space="preserve">, </w:t>
      </w:r>
      <w:r w:rsidR="00FF3347">
        <w:rPr>
          <w:rFonts w:ascii="Arial" w:hAnsi="Arial" w:cs="Arial"/>
          <w:bCs/>
          <w:sz w:val="20"/>
          <w:szCs w:val="20"/>
          <w:lang w:val="es-CO"/>
        </w:rPr>
        <w:t xml:space="preserve">las entidades deben </w:t>
      </w:r>
      <w:r w:rsidR="00116CF0">
        <w:rPr>
          <w:rFonts w:ascii="Arial" w:hAnsi="Arial" w:cs="Arial"/>
          <w:bCs/>
          <w:sz w:val="20"/>
          <w:szCs w:val="20"/>
          <w:lang w:val="es-CO"/>
        </w:rPr>
        <w:t>establecer una metodología</w:t>
      </w:r>
      <w:r w:rsidR="00622C33">
        <w:rPr>
          <w:rFonts w:ascii="Arial" w:hAnsi="Arial" w:cs="Arial"/>
          <w:bCs/>
          <w:sz w:val="20"/>
          <w:szCs w:val="20"/>
          <w:lang w:val="es-CO"/>
        </w:rPr>
        <w:t xml:space="preserve"> con amplio sustento técnico</w:t>
      </w:r>
      <w:r w:rsidR="00116CF0">
        <w:rPr>
          <w:rFonts w:ascii="Arial" w:hAnsi="Arial" w:cs="Arial"/>
          <w:bCs/>
          <w:sz w:val="20"/>
          <w:szCs w:val="20"/>
          <w:lang w:val="es-CO"/>
        </w:rPr>
        <w:t xml:space="preserve"> </w:t>
      </w:r>
      <w:r w:rsidR="00C558B7">
        <w:rPr>
          <w:rFonts w:ascii="Arial" w:hAnsi="Arial" w:cs="Arial"/>
          <w:bCs/>
          <w:sz w:val="20"/>
          <w:szCs w:val="20"/>
          <w:lang w:val="es-CO"/>
        </w:rPr>
        <w:t xml:space="preserve">para calcular un vector de salario mínimo que permita </w:t>
      </w:r>
      <w:r w:rsidR="00523843">
        <w:rPr>
          <w:rFonts w:ascii="Arial" w:hAnsi="Arial" w:cs="Arial"/>
          <w:bCs/>
          <w:sz w:val="20"/>
          <w:szCs w:val="20"/>
          <w:lang w:val="es-CO"/>
        </w:rPr>
        <w:t xml:space="preserve">estimar las </w:t>
      </w:r>
      <w:r w:rsidR="00523843" w:rsidRPr="006402AB">
        <w:rPr>
          <w:rFonts w:ascii="Arial" w:hAnsi="Arial" w:cs="Arial"/>
          <w:bCs/>
          <w:sz w:val="20"/>
          <w:szCs w:val="20"/>
          <w:lang w:val="es-CO"/>
        </w:rPr>
        <w:t xml:space="preserve">variaciones de este </w:t>
      </w:r>
      <w:r w:rsidR="006402AB" w:rsidRPr="006402AB">
        <w:rPr>
          <w:rFonts w:ascii="Arial" w:hAnsi="Arial" w:cs="Arial"/>
          <w:bCs/>
          <w:sz w:val="20"/>
          <w:szCs w:val="20"/>
          <w:lang w:val="es-CO"/>
        </w:rPr>
        <w:t>indicador de referencia</w:t>
      </w:r>
      <w:r w:rsidR="003F3C3F" w:rsidRPr="006402AB">
        <w:rPr>
          <w:rFonts w:ascii="Arial" w:hAnsi="Arial" w:cs="Arial"/>
          <w:bCs/>
          <w:sz w:val="20"/>
          <w:szCs w:val="20"/>
          <w:lang w:val="es-CO"/>
        </w:rPr>
        <w:t>.</w:t>
      </w:r>
      <w:r w:rsidR="003F3C3F">
        <w:rPr>
          <w:rFonts w:ascii="Arial" w:hAnsi="Arial" w:cs="Arial"/>
          <w:bCs/>
          <w:sz w:val="20"/>
          <w:szCs w:val="20"/>
          <w:lang w:val="es-CO"/>
        </w:rPr>
        <w:t xml:space="preserve"> </w:t>
      </w:r>
      <w:r w:rsidR="003C78C8">
        <w:rPr>
          <w:rFonts w:ascii="Arial" w:hAnsi="Arial" w:cs="Arial"/>
          <w:bCs/>
          <w:sz w:val="20"/>
          <w:szCs w:val="20"/>
          <w:lang w:val="es-CO"/>
        </w:rPr>
        <w:t xml:space="preserve">La metodología definida por la </w:t>
      </w:r>
      <w:r w:rsidR="00BA3CD7">
        <w:rPr>
          <w:rFonts w:ascii="Arial" w:hAnsi="Arial" w:cs="Arial"/>
          <w:bCs/>
          <w:sz w:val="20"/>
          <w:szCs w:val="20"/>
          <w:lang w:val="es-CO"/>
        </w:rPr>
        <w:t>entidad</w:t>
      </w:r>
      <w:r w:rsidR="003C78C8">
        <w:rPr>
          <w:rFonts w:ascii="Arial" w:hAnsi="Arial" w:cs="Arial"/>
          <w:bCs/>
          <w:sz w:val="20"/>
          <w:szCs w:val="20"/>
          <w:lang w:val="es-CO"/>
        </w:rPr>
        <w:t xml:space="preserve"> debe considerar</w:t>
      </w:r>
      <w:r w:rsidR="00311727">
        <w:rPr>
          <w:rFonts w:ascii="Arial" w:hAnsi="Arial" w:cs="Arial"/>
          <w:bCs/>
          <w:sz w:val="20"/>
          <w:szCs w:val="20"/>
          <w:lang w:val="es-CO"/>
        </w:rPr>
        <w:t xml:space="preserve"> suficiente</w:t>
      </w:r>
      <w:r w:rsidR="00433C6C">
        <w:rPr>
          <w:rFonts w:ascii="Arial" w:hAnsi="Arial" w:cs="Arial"/>
          <w:bCs/>
          <w:sz w:val="20"/>
          <w:szCs w:val="20"/>
          <w:lang w:val="es-CO"/>
        </w:rPr>
        <w:t xml:space="preserve"> información históric</w:t>
      </w:r>
      <w:r w:rsidR="000E3DFF">
        <w:rPr>
          <w:rFonts w:ascii="Arial" w:hAnsi="Arial" w:cs="Arial"/>
          <w:bCs/>
          <w:sz w:val="20"/>
          <w:szCs w:val="20"/>
          <w:lang w:val="es-CO"/>
        </w:rPr>
        <w:t>a</w:t>
      </w:r>
      <w:r w:rsidR="00433C6C">
        <w:rPr>
          <w:rFonts w:ascii="Arial" w:hAnsi="Arial" w:cs="Arial"/>
          <w:bCs/>
          <w:sz w:val="20"/>
          <w:szCs w:val="20"/>
          <w:lang w:val="es-CO"/>
        </w:rPr>
        <w:t xml:space="preserve"> </w:t>
      </w:r>
      <w:r w:rsidR="00311727">
        <w:rPr>
          <w:rFonts w:ascii="Arial" w:hAnsi="Arial" w:cs="Arial"/>
          <w:bCs/>
          <w:sz w:val="20"/>
          <w:szCs w:val="20"/>
          <w:lang w:val="es-CO"/>
        </w:rPr>
        <w:t>para realizar estimaciones estadísticamente robustas y representativas</w:t>
      </w:r>
      <w:r w:rsidR="00433C6C">
        <w:rPr>
          <w:rFonts w:ascii="Arial" w:hAnsi="Arial" w:cs="Arial"/>
          <w:bCs/>
          <w:sz w:val="20"/>
          <w:szCs w:val="20"/>
          <w:lang w:val="es-CO"/>
        </w:rPr>
        <w:t>, así como proyecciones técnicas y razonables</w:t>
      </w:r>
      <w:r w:rsidR="0060298A">
        <w:rPr>
          <w:rFonts w:ascii="Arial" w:hAnsi="Arial" w:cs="Arial"/>
          <w:bCs/>
          <w:sz w:val="20"/>
          <w:szCs w:val="20"/>
          <w:lang w:val="es-CO"/>
        </w:rPr>
        <w:t>, como mínimo,</w:t>
      </w:r>
      <w:r w:rsidR="003C78C8">
        <w:rPr>
          <w:rFonts w:ascii="Arial" w:hAnsi="Arial" w:cs="Arial"/>
          <w:bCs/>
          <w:sz w:val="20"/>
          <w:szCs w:val="20"/>
          <w:lang w:val="es-CO"/>
        </w:rPr>
        <w:t xml:space="preserve"> </w:t>
      </w:r>
      <w:r w:rsidR="000E3DFF">
        <w:rPr>
          <w:rFonts w:ascii="Arial" w:hAnsi="Arial" w:cs="Arial"/>
          <w:bCs/>
          <w:sz w:val="20"/>
          <w:szCs w:val="20"/>
          <w:lang w:val="es-CO"/>
        </w:rPr>
        <w:t>para las siguientes variable</w:t>
      </w:r>
      <w:r w:rsidR="001A1803">
        <w:rPr>
          <w:rFonts w:ascii="Arial" w:hAnsi="Arial" w:cs="Arial"/>
          <w:bCs/>
          <w:sz w:val="20"/>
          <w:szCs w:val="20"/>
          <w:lang w:val="es-CO"/>
        </w:rPr>
        <w:t>s</w:t>
      </w:r>
      <w:r w:rsidR="003C78C8">
        <w:rPr>
          <w:rFonts w:ascii="Arial" w:hAnsi="Arial" w:cs="Arial"/>
          <w:bCs/>
          <w:sz w:val="20"/>
          <w:szCs w:val="20"/>
          <w:lang w:val="es-CO"/>
        </w:rPr>
        <w:t>:</w:t>
      </w:r>
      <w:r w:rsidR="004860AF">
        <w:rPr>
          <w:rFonts w:ascii="Arial" w:hAnsi="Arial" w:cs="Arial"/>
          <w:bCs/>
          <w:sz w:val="20"/>
          <w:szCs w:val="20"/>
          <w:lang w:val="es-CO"/>
        </w:rPr>
        <w:t xml:space="preserve"> (i) inflación</w:t>
      </w:r>
      <w:r w:rsidR="001A1803">
        <w:rPr>
          <w:rFonts w:ascii="Arial" w:hAnsi="Arial" w:cs="Arial"/>
          <w:bCs/>
          <w:sz w:val="20"/>
          <w:szCs w:val="20"/>
          <w:lang w:val="es-CO"/>
        </w:rPr>
        <w:t xml:space="preserve">; </w:t>
      </w:r>
      <w:r w:rsidR="004860AF">
        <w:rPr>
          <w:rFonts w:ascii="Arial" w:hAnsi="Arial" w:cs="Arial"/>
          <w:bCs/>
          <w:sz w:val="20"/>
          <w:szCs w:val="20"/>
          <w:lang w:val="es-CO"/>
        </w:rPr>
        <w:t>(</w:t>
      </w:r>
      <w:proofErr w:type="spellStart"/>
      <w:r w:rsidR="004860AF">
        <w:rPr>
          <w:rFonts w:ascii="Arial" w:hAnsi="Arial" w:cs="Arial"/>
          <w:bCs/>
          <w:sz w:val="20"/>
          <w:szCs w:val="20"/>
          <w:lang w:val="es-CO"/>
        </w:rPr>
        <w:t>ii</w:t>
      </w:r>
      <w:proofErr w:type="spellEnd"/>
      <w:r w:rsidR="004860AF">
        <w:rPr>
          <w:rFonts w:ascii="Arial" w:hAnsi="Arial" w:cs="Arial"/>
          <w:bCs/>
          <w:sz w:val="20"/>
          <w:szCs w:val="20"/>
          <w:lang w:val="es-CO"/>
        </w:rPr>
        <w:t xml:space="preserve">) </w:t>
      </w:r>
      <w:r w:rsidR="00302914">
        <w:rPr>
          <w:rFonts w:ascii="Arial" w:hAnsi="Arial" w:cs="Arial"/>
          <w:bCs/>
          <w:sz w:val="20"/>
          <w:szCs w:val="20"/>
          <w:lang w:val="es-CO"/>
        </w:rPr>
        <w:t>índice de productividad; (</w:t>
      </w:r>
      <w:proofErr w:type="spellStart"/>
      <w:r w:rsidR="00302914">
        <w:rPr>
          <w:rFonts w:ascii="Arial" w:hAnsi="Arial" w:cs="Arial"/>
          <w:bCs/>
          <w:sz w:val="20"/>
          <w:szCs w:val="20"/>
          <w:lang w:val="es-CO"/>
        </w:rPr>
        <w:t>iii</w:t>
      </w:r>
      <w:proofErr w:type="spellEnd"/>
      <w:r w:rsidR="00302914">
        <w:rPr>
          <w:rFonts w:ascii="Arial" w:hAnsi="Arial" w:cs="Arial"/>
          <w:bCs/>
          <w:sz w:val="20"/>
          <w:szCs w:val="20"/>
          <w:lang w:val="es-CO"/>
        </w:rPr>
        <w:t>)</w:t>
      </w:r>
      <w:r w:rsidR="004C21DE">
        <w:rPr>
          <w:rFonts w:ascii="Arial" w:hAnsi="Arial" w:cs="Arial"/>
          <w:bCs/>
          <w:sz w:val="20"/>
          <w:szCs w:val="20"/>
          <w:lang w:val="es-CO"/>
        </w:rPr>
        <w:t xml:space="preserve"> contribución de los salarios al ingreso</w:t>
      </w:r>
      <w:r w:rsidR="00302914">
        <w:rPr>
          <w:rFonts w:ascii="Arial" w:hAnsi="Arial" w:cs="Arial"/>
          <w:bCs/>
          <w:sz w:val="20"/>
          <w:szCs w:val="20"/>
          <w:lang w:val="es-CO"/>
        </w:rPr>
        <w:t>;</w:t>
      </w:r>
      <w:r w:rsidR="00EC1498">
        <w:rPr>
          <w:rFonts w:ascii="Arial" w:hAnsi="Arial" w:cs="Arial"/>
          <w:bCs/>
          <w:sz w:val="20"/>
          <w:szCs w:val="20"/>
          <w:lang w:val="es-CO"/>
        </w:rPr>
        <w:t xml:space="preserve"> </w:t>
      </w:r>
      <w:r w:rsidR="008965CF">
        <w:rPr>
          <w:rFonts w:ascii="Arial" w:hAnsi="Arial" w:cs="Arial"/>
          <w:bCs/>
          <w:sz w:val="20"/>
          <w:szCs w:val="20"/>
          <w:lang w:val="es-CO"/>
        </w:rPr>
        <w:t xml:space="preserve">y </w:t>
      </w:r>
      <w:r w:rsidR="00EC1498">
        <w:rPr>
          <w:rFonts w:ascii="Arial" w:hAnsi="Arial" w:cs="Arial"/>
          <w:bCs/>
          <w:sz w:val="20"/>
          <w:szCs w:val="20"/>
          <w:lang w:val="es-CO"/>
        </w:rPr>
        <w:t>(</w:t>
      </w:r>
      <w:proofErr w:type="spellStart"/>
      <w:r w:rsidR="00EC1498">
        <w:rPr>
          <w:rFonts w:ascii="Arial" w:hAnsi="Arial" w:cs="Arial"/>
          <w:bCs/>
          <w:sz w:val="20"/>
          <w:szCs w:val="20"/>
          <w:lang w:val="es-CO"/>
        </w:rPr>
        <w:t>iv</w:t>
      </w:r>
      <w:proofErr w:type="spellEnd"/>
      <w:r w:rsidR="00EC1498">
        <w:rPr>
          <w:rFonts w:ascii="Arial" w:hAnsi="Arial" w:cs="Arial"/>
          <w:bCs/>
          <w:sz w:val="20"/>
          <w:szCs w:val="20"/>
          <w:lang w:val="es-CO"/>
        </w:rPr>
        <w:t>) producto interno bruto (PIB);</w:t>
      </w:r>
      <w:r w:rsidR="00A92BD5">
        <w:rPr>
          <w:rFonts w:ascii="Arial" w:hAnsi="Arial" w:cs="Arial"/>
          <w:bCs/>
          <w:sz w:val="20"/>
          <w:szCs w:val="20"/>
          <w:lang w:val="es-CO"/>
        </w:rPr>
        <w:t xml:space="preserve"> entre otros. </w:t>
      </w:r>
      <w:r w:rsidR="00302585">
        <w:rPr>
          <w:rFonts w:ascii="Arial" w:hAnsi="Arial" w:cs="Arial"/>
          <w:bCs/>
          <w:sz w:val="20"/>
          <w:szCs w:val="20"/>
          <w:lang w:val="es-CO"/>
        </w:rPr>
        <w:t xml:space="preserve">La documentación de la metodología y sus resultados </w:t>
      </w:r>
      <w:r w:rsidR="000C7448">
        <w:rPr>
          <w:rFonts w:ascii="Arial" w:hAnsi="Arial" w:cs="Arial"/>
          <w:bCs/>
          <w:sz w:val="20"/>
          <w:szCs w:val="20"/>
          <w:lang w:val="es-CO"/>
        </w:rPr>
        <w:t>se</w:t>
      </w:r>
      <w:r w:rsidR="00302585">
        <w:rPr>
          <w:rFonts w:ascii="Arial" w:hAnsi="Arial" w:cs="Arial"/>
          <w:bCs/>
          <w:sz w:val="20"/>
          <w:szCs w:val="20"/>
          <w:lang w:val="es-CO"/>
        </w:rPr>
        <w:t xml:space="preserve"> debe mantener a disposición de la SFC.</w:t>
      </w:r>
    </w:p>
    <w:p w14:paraId="074586DD" w14:textId="77777777" w:rsidR="00A90443" w:rsidRPr="0089352B" w:rsidRDefault="00A90443" w:rsidP="0089352B">
      <w:pPr>
        <w:jc w:val="both"/>
        <w:rPr>
          <w:rFonts w:ascii="Arial" w:hAnsi="Arial" w:cs="Arial"/>
          <w:bCs/>
          <w:sz w:val="20"/>
          <w:szCs w:val="20"/>
          <w:lang w:val="es-CO"/>
        </w:rPr>
      </w:pPr>
    </w:p>
    <w:p w14:paraId="10322785" w14:textId="7E098E92" w:rsidR="0002150A" w:rsidRDefault="00DF39E3" w:rsidP="00BE2CFC">
      <w:pPr>
        <w:pStyle w:val="Prrafodelista"/>
        <w:numPr>
          <w:ilvl w:val="1"/>
          <w:numId w:val="1"/>
        </w:numPr>
        <w:ind w:left="851" w:hanging="851"/>
        <w:jc w:val="both"/>
        <w:rPr>
          <w:rFonts w:ascii="Arial" w:hAnsi="Arial" w:cs="Arial"/>
          <w:b/>
          <w:sz w:val="20"/>
          <w:szCs w:val="20"/>
          <w:lang w:val="es-CO"/>
        </w:rPr>
      </w:pPr>
      <w:r>
        <w:rPr>
          <w:rFonts w:ascii="Arial" w:hAnsi="Arial" w:cs="Arial"/>
          <w:b/>
          <w:sz w:val="20"/>
          <w:szCs w:val="20"/>
          <w:lang w:val="es-CO"/>
        </w:rPr>
        <w:t>Tasa de descuento</w:t>
      </w:r>
    </w:p>
    <w:p w14:paraId="17732ECF" w14:textId="77777777" w:rsidR="00DF39E3" w:rsidRDefault="00DF39E3" w:rsidP="00DF39E3">
      <w:pPr>
        <w:jc w:val="both"/>
        <w:rPr>
          <w:rFonts w:ascii="Arial" w:hAnsi="Arial" w:cs="Arial"/>
          <w:b/>
          <w:sz w:val="20"/>
          <w:szCs w:val="20"/>
          <w:lang w:val="es-CO"/>
        </w:rPr>
      </w:pPr>
    </w:p>
    <w:p w14:paraId="215EB5F0" w14:textId="373B625F" w:rsidR="00DF39E3" w:rsidRDefault="009011D1" w:rsidP="00DF39E3">
      <w:pPr>
        <w:jc w:val="both"/>
        <w:rPr>
          <w:rFonts w:ascii="Arial" w:hAnsi="Arial" w:cs="Arial"/>
          <w:bCs/>
          <w:sz w:val="20"/>
          <w:szCs w:val="20"/>
          <w:lang w:val="es-CO"/>
        </w:rPr>
      </w:pPr>
      <w:r>
        <w:rPr>
          <w:rFonts w:ascii="Arial" w:hAnsi="Arial" w:cs="Arial"/>
          <w:bCs/>
          <w:sz w:val="20"/>
          <w:szCs w:val="20"/>
          <w:lang w:val="es-CO"/>
        </w:rPr>
        <w:t xml:space="preserve">De acuerdo con el numeral 1 </w:t>
      </w:r>
      <w:r w:rsidRPr="004026DD">
        <w:rPr>
          <w:rFonts w:ascii="Arial" w:hAnsi="Arial" w:cs="Arial"/>
          <w:bCs/>
          <w:sz w:val="20"/>
          <w:szCs w:val="20"/>
          <w:lang w:val="es-CO"/>
        </w:rPr>
        <w:t>del artículo 2.31.4.1.4. del Decreto 2555 de 2010</w:t>
      </w:r>
      <w:r>
        <w:rPr>
          <w:rFonts w:ascii="Arial" w:hAnsi="Arial" w:cs="Arial"/>
          <w:bCs/>
          <w:sz w:val="20"/>
          <w:szCs w:val="20"/>
          <w:lang w:val="es-CO"/>
        </w:rPr>
        <w:t xml:space="preserve"> la tasa de descuento aplicable a los flujos de efectivo se define como: </w:t>
      </w:r>
    </w:p>
    <w:p w14:paraId="154F9C48" w14:textId="77777777" w:rsidR="009011D1" w:rsidRDefault="009011D1" w:rsidP="00DF39E3">
      <w:pPr>
        <w:jc w:val="both"/>
        <w:rPr>
          <w:rFonts w:ascii="Arial" w:hAnsi="Arial" w:cs="Arial"/>
          <w:bCs/>
          <w:sz w:val="20"/>
          <w:szCs w:val="20"/>
          <w:lang w:val="es-CO"/>
        </w:rPr>
      </w:pPr>
    </w:p>
    <w:p w14:paraId="5810B92F" w14:textId="166AE508" w:rsidR="009011D1" w:rsidRPr="00DF39E3" w:rsidRDefault="000F2AC9" w:rsidP="00DF39E3">
      <w:pPr>
        <w:jc w:val="both"/>
        <w:rPr>
          <w:rFonts w:ascii="Arial" w:hAnsi="Arial" w:cs="Arial"/>
          <w:bCs/>
          <w:sz w:val="20"/>
          <w:szCs w:val="20"/>
          <w:lang w:val="es-CO"/>
        </w:rPr>
      </w:pPr>
      <m:oMathPara>
        <m:oMath>
          <m:sSub>
            <m:sSubPr>
              <m:ctrlPr>
                <w:rPr>
                  <w:rFonts w:ascii="Cambria Math" w:hAnsi="Cambria Math" w:cs="Arial"/>
                  <w:bCs/>
                  <w:i/>
                  <w:sz w:val="20"/>
                  <w:szCs w:val="20"/>
                  <w:lang w:val="es-CO"/>
                </w:rPr>
              </m:ctrlPr>
            </m:sSubPr>
            <m:e>
              <m:r>
                <w:rPr>
                  <w:rFonts w:ascii="Cambria Math" w:hAnsi="Cambria Math" w:cs="Arial"/>
                  <w:sz w:val="20"/>
                  <w:szCs w:val="20"/>
                  <w:lang w:val="es-CO"/>
                </w:rPr>
                <m:t>Tasa de descuento</m:t>
              </m:r>
            </m:e>
            <m:sub>
              <m:r>
                <w:rPr>
                  <w:rFonts w:ascii="Cambria Math" w:hAnsi="Cambria Math" w:cs="Arial"/>
                  <w:sz w:val="20"/>
                  <w:szCs w:val="20"/>
                  <w:lang w:val="es-CO"/>
                </w:rPr>
                <m:t>t</m:t>
              </m:r>
            </m:sub>
          </m:sSub>
          <m:r>
            <w:rPr>
              <w:rFonts w:ascii="Cambria Math" w:hAnsi="Cambria Math" w:cs="Arial"/>
              <w:sz w:val="20"/>
              <w:szCs w:val="20"/>
              <w:lang w:val="es-CO"/>
            </w:rPr>
            <m:t>=</m:t>
          </m:r>
          <m:d>
            <m:dPr>
              <m:ctrlPr>
                <w:rPr>
                  <w:rFonts w:ascii="Cambria Math" w:hAnsi="Cambria Math" w:cs="Arial"/>
                  <w:bCs/>
                  <w:i/>
                  <w:sz w:val="20"/>
                  <w:szCs w:val="20"/>
                  <w:lang w:val="es-CO"/>
                </w:rPr>
              </m:ctrlPr>
            </m:dPr>
            <m:e>
              <m:d>
                <m:dPr>
                  <m:ctrlPr>
                    <w:rPr>
                      <w:rFonts w:ascii="Cambria Math" w:hAnsi="Cambria Math" w:cs="Arial"/>
                      <w:bCs/>
                      <w:i/>
                      <w:sz w:val="20"/>
                      <w:szCs w:val="20"/>
                      <w:lang w:val="es-CO"/>
                    </w:rPr>
                  </m:ctrlPr>
                </m:dPr>
                <m:e>
                  <m:r>
                    <w:rPr>
                      <w:rFonts w:ascii="Cambria Math" w:hAnsi="Cambria Math" w:cs="Arial"/>
                      <w:sz w:val="20"/>
                      <w:szCs w:val="20"/>
                      <w:lang w:val="es-CO"/>
                    </w:rPr>
                    <m:t>1+</m:t>
                  </m:r>
                  <m:sSub>
                    <m:sSubPr>
                      <m:ctrlPr>
                        <w:rPr>
                          <w:rFonts w:ascii="Cambria Math" w:hAnsi="Cambria Math" w:cs="Arial"/>
                          <w:bCs/>
                          <w:i/>
                          <w:sz w:val="20"/>
                          <w:szCs w:val="20"/>
                          <w:lang w:val="es-CO"/>
                        </w:rPr>
                      </m:ctrlPr>
                    </m:sSubPr>
                    <m:e>
                      <m:r>
                        <w:rPr>
                          <w:rFonts w:ascii="Cambria Math" w:hAnsi="Cambria Math" w:cs="Arial"/>
                          <w:sz w:val="20"/>
                          <w:szCs w:val="20"/>
                          <w:lang w:val="es-CO"/>
                        </w:rPr>
                        <m:t>Curva de rendimiento libre de riesgo</m:t>
                      </m:r>
                    </m:e>
                    <m:sub>
                      <m:r>
                        <w:rPr>
                          <w:rFonts w:ascii="Cambria Math" w:hAnsi="Cambria Math" w:cs="Arial"/>
                          <w:sz w:val="20"/>
                          <w:szCs w:val="20"/>
                          <w:lang w:val="es-CO"/>
                        </w:rPr>
                        <m:t>t</m:t>
                      </m:r>
                    </m:sub>
                  </m:sSub>
                </m:e>
              </m:d>
              <m:r>
                <w:rPr>
                  <w:rFonts w:ascii="Cambria Math" w:hAnsi="Cambria Math" w:cs="Arial"/>
                  <w:sz w:val="20"/>
                  <w:szCs w:val="20"/>
                  <w:lang w:val="es-CO"/>
                </w:rPr>
                <m:t>*</m:t>
              </m:r>
              <m:d>
                <m:dPr>
                  <m:ctrlPr>
                    <w:rPr>
                      <w:rFonts w:ascii="Cambria Math" w:hAnsi="Cambria Math" w:cs="Arial"/>
                      <w:bCs/>
                      <w:i/>
                      <w:sz w:val="20"/>
                      <w:szCs w:val="20"/>
                      <w:lang w:val="es-CO"/>
                    </w:rPr>
                  </m:ctrlPr>
                </m:dPr>
                <m:e>
                  <m:r>
                    <w:rPr>
                      <w:rFonts w:ascii="Cambria Math" w:hAnsi="Cambria Math" w:cs="Arial"/>
                      <w:sz w:val="20"/>
                      <w:szCs w:val="20"/>
                      <w:lang w:val="es-CO"/>
                    </w:rPr>
                    <m:t>1+Prima de iliquidez</m:t>
                  </m:r>
                </m:e>
              </m:d>
              <m:r>
                <w:rPr>
                  <w:rFonts w:ascii="Cambria Math" w:hAnsi="Cambria Math" w:cs="Arial"/>
                  <w:sz w:val="20"/>
                  <w:szCs w:val="20"/>
                  <w:lang w:val="es-CO"/>
                </w:rPr>
                <m:t>-1</m:t>
              </m:r>
            </m:e>
          </m:d>
        </m:oMath>
      </m:oMathPara>
    </w:p>
    <w:p w14:paraId="51C447CA" w14:textId="31E79D5B" w:rsidR="00B52E60" w:rsidRDefault="00B52E60" w:rsidP="00666496">
      <w:pPr>
        <w:jc w:val="both"/>
        <w:rPr>
          <w:rFonts w:ascii="Arial" w:hAnsi="Arial" w:cs="Arial"/>
          <w:bCs/>
          <w:sz w:val="20"/>
          <w:szCs w:val="20"/>
          <w:lang w:val="es-CO"/>
        </w:rPr>
      </w:pPr>
    </w:p>
    <w:p w14:paraId="64CD0806" w14:textId="60810C5D" w:rsidR="00CC7CCF" w:rsidRDefault="00B52E60" w:rsidP="00666496">
      <w:pPr>
        <w:jc w:val="both"/>
        <w:rPr>
          <w:rFonts w:ascii="Arial" w:hAnsi="Arial" w:cs="Arial"/>
          <w:bCs/>
          <w:sz w:val="20"/>
          <w:szCs w:val="20"/>
          <w:lang w:val="es-CO"/>
        </w:rPr>
      </w:pPr>
      <w:r>
        <w:rPr>
          <w:rFonts w:ascii="Arial" w:hAnsi="Arial" w:cs="Arial"/>
          <w:bCs/>
          <w:sz w:val="20"/>
          <w:szCs w:val="20"/>
          <w:lang w:val="es-CO"/>
        </w:rPr>
        <w:t>Donde:</w:t>
      </w:r>
    </w:p>
    <w:p w14:paraId="634CB7D1" w14:textId="77777777" w:rsidR="00B52E60" w:rsidRDefault="00B52E60" w:rsidP="00666496">
      <w:pPr>
        <w:jc w:val="both"/>
        <w:rPr>
          <w:rFonts w:ascii="Arial" w:hAnsi="Arial" w:cs="Arial"/>
          <w:bCs/>
          <w:sz w:val="20"/>
          <w:szCs w:val="20"/>
          <w:lang w:val="es-CO"/>
        </w:rPr>
      </w:pPr>
    </w:p>
    <w:p w14:paraId="2E1C25CA" w14:textId="59E20800" w:rsidR="00B52E60" w:rsidRPr="00157C63" w:rsidRDefault="000F2AC9" w:rsidP="00666496">
      <w:pPr>
        <w:jc w:val="both"/>
        <w:rPr>
          <w:rFonts w:ascii="Arial" w:hAnsi="Arial" w:cs="Arial"/>
          <w:bCs/>
          <w:sz w:val="20"/>
          <w:szCs w:val="20"/>
          <w:lang w:val="es-CO"/>
        </w:rPr>
      </w:pPr>
      <m:oMath>
        <m:sSub>
          <m:sSubPr>
            <m:ctrlPr>
              <w:rPr>
                <w:rFonts w:ascii="Cambria Math" w:hAnsi="Cambria Math" w:cs="Arial"/>
                <w:bCs/>
                <w:i/>
                <w:sz w:val="20"/>
                <w:szCs w:val="20"/>
                <w:lang w:val="es-CO"/>
              </w:rPr>
            </m:ctrlPr>
          </m:sSubPr>
          <m:e>
            <m:r>
              <w:rPr>
                <w:rFonts w:ascii="Cambria Math" w:hAnsi="Cambria Math" w:cs="Arial"/>
                <w:sz w:val="20"/>
                <w:szCs w:val="20"/>
                <w:lang w:val="es-CO"/>
              </w:rPr>
              <m:t>Tasa de descuento</m:t>
            </m:r>
          </m:e>
          <m:sub>
            <m:r>
              <w:rPr>
                <w:rFonts w:ascii="Cambria Math" w:hAnsi="Cambria Math" w:cs="Arial"/>
                <w:sz w:val="20"/>
                <w:szCs w:val="20"/>
                <w:lang w:val="es-CO"/>
              </w:rPr>
              <m:t>t</m:t>
            </m:r>
          </m:sub>
        </m:sSub>
      </m:oMath>
      <w:r w:rsidR="00C062CA" w:rsidRPr="00157C63">
        <w:rPr>
          <w:rFonts w:ascii="Arial" w:hAnsi="Arial" w:cs="Arial"/>
          <w:bCs/>
          <w:sz w:val="20"/>
          <w:szCs w:val="20"/>
          <w:lang w:val="es-CO"/>
        </w:rPr>
        <w:t>:</w:t>
      </w:r>
      <w:r w:rsidR="00157C63" w:rsidRPr="00157C63">
        <w:rPr>
          <w:rFonts w:ascii="Arial" w:hAnsi="Arial" w:cs="Arial"/>
          <w:bCs/>
          <w:sz w:val="20"/>
          <w:szCs w:val="20"/>
          <w:lang w:val="es-CO"/>
        </w:rPr>
        <w:t xml:space="preserve"> corr</w:t>
      </w:r>
      <w:r w:rsidR="00157C63">
        <w:rPr>
          <w:rFonts w:ascii="Arial" w:hAnsi="Arial" w:cs="Arial"/>
          <w:bCs/>
          <w:sz w:val="20"/>
          <w:szCs w:val="20"/>
          <w:lang w:val="es-CO"/>
        </w:rPr>
        <w:t xml:space="preserve">esponde al valor de la tasa de descuento aplicable a cada momento </w:t>
      </w:r>
      <m:oMath>
        <m:r>
          <w:rPr>
            <w:rFonts w:ascii="Cambria Math" w:hAnsi="Cambria Math" w:cs="Arial"/>
            <w:sz w:val="20"/>
            <w:szCs w:val="20"/>
            <w:lang w:val="es-CO"/>
          </w:rPr>
          <m:t>t</m:t>
        </m:r>
      </m:oMath>
      <w:r w:rsidR="00157C63">
        <w:rPr>
          <w:rFonts w:ascii="Arial" w:hAnsi="Arial" w:cs="Arial"/>
          <w:bCs/>
          <w:sz w:val="20"/>
          <w:szCs w:val="20"/>
          <w:lang w:val="es-CO"/>
        </w:rPr>
        <w:t>.</w:t>
      </w:r>
    </w:p>
    <w:p w14:paraId="686AAFB1" w14:textId="77777777" w:rsidR="00157C63" w:rsidRDefault="00157C63" w:rsidP="00666496">
      <w:pPr>
        <w:jc w:val="both"/>
        <w:rPr>
          <w:rFonts w:ascii="Arial" w:hAnsi="Arial" w:cs="Arial"/>
          <w:bCs/>
          <w:sz w:val="20"/>
          <w:szCs w:val="20"/>
          <w:lang w:val="es-CO"/>
        </w:rPr>
      </w:pPr>
    </w:p>
    <w:p w14:paraId="0AAA0A43" w14:textId="56F41659" w:rsidR="00157C63" w:rsidRPr="00157C63" w:rsidRDefault="000F2AC9" w:rsidP="00157C63">
      <w:pPr>
        <w:jc w:val="both"/>
        <w:rPr>
          <w:rFonts w:ascii="Arial" w:hAnsi="Arial" w:cs="Arial"/>
          <w:bCs/>
          <w:sz w:val="20"/>
          <w:szCs w:val="20"/>
          <w:lang w:val="es-CO"/>
        </w:rPr>
      </w:pPr>
      <m:oMath>
        <m:sSub>
          <m:sSubPr>
            <m:ctrlPr>
              <w:rPr>
                <w:rFonts w:ascii="Cambria Math" w:hAnsi="Cambria Math" w:cs="Arial"/>
                <w:bCs/>
                <w:i/>
                <w:sz w:val="20"/>
                <w:szCs w:val="20"/>
                <w:lang w:val="es-CO"/>
              </w:rPr>
            </m:ctrlPr>
          </m:sSubPr>
          <m:e>
            <m:r>
              <w:rPr>
                <w:rFonts w:ascii="Cambria Math" w:hAnsi="Cambria Math" w:cs="Arial"/>
                <w:sz w:val="20"/>
                <w:szCs w:val="20"/>
                <w:lang w:val="es-CO"/>
              </w:rPr>
              <m:t>Curva de rendimiento libre de riesgo</m:t>
            </m:r>
          </m:e>
          <m:sub>
            <m:r>
              <w:rPr>
                <w:rFonts w:ascii="Cambria Math" w:hAnsi="Cambria Math" w:cs="Arial"/>
                <w:sz w:val="20"/>
                <w:szCs w:val="20"/>
                <w:lang w:val="es-CO"/>
              </w:rPr>
              <m:t>t</m:t>
            </m:r>
          </m:sub>
        </m:sSub>
      </m:oMath>
      <w:r w:rsidR="00157C63" w:rsidRPr="00157C63">
        <w:rPr>
          <w:rFonts w:ascii="Arial" w:hAnsi="Arial" w:cs="Arial"/>
          <w:bCs/>
          <w:sz w:val="20"/>
          <w:szCs w:val="20"/>
          <w:lang w:val="es-CO"/>
        </w:rPr>
        <w:t>: corr</w:t>
      </w:r>
      <w:r w:rsidR="00157C63">
        <w:rPr>
          <w:rFonts w:ascii="Arial" w:hAnsi="Arial" w:cs="Arial"/>
          <w:bCs/>
          <w:sz w:val="20"/>
          <w:szCs w:val="20"/>
          <w:lang w:val="es-CO"/>
        </w:rPr>
        <w:t xml:space="preserve">esponde al valor para cada momento </w:t>
      </w:r>
      <m:oMath>
        <m:r>
          <w:rPr>
            <w:rFonts w:ascii="Cambria Math" w:hAnsi="Cambria Math" w:cs="Arial"/>
            <w:sz w:val="20"/>
            <w:szCs w:val="20"/>
            <w:lang w:val="es-CO"/>
          </w:rPr>
          <m:t>t</m:t>
        </m:r>
      </m:oMath>
      <w:r w:rsidR="00157C63">
        <w:rPr>
          <w:rFonts w:ascii="Arial" w:hAnsi="Arial" w:cs="Arial"/>
          <w:bCs/>
          <w:sz w:val="20"/>
          <w:szCs w:val="20"/>
          <w:lang w:val="es-CO"/>
        </w:rPr>
        <w:t xml:space="preserve"> de la curva de rendimiento libre de riesgo de que trata el numeral </w:t>
      </w:r>
      <w:r w:rsidR="0007052C">
        <w:rPr>
          <w:rFonts w:ascii="Arial" w:hAnsi="Arial" w:cs="Arial"/>
          <w:bCs/>
          <w:sz w:val="20"/>
          <w:szCs w:val="20"/>
          <w:lang w:val="es-CO"/>
        </w:rPr>
        <w:t>3.3.1.</w:t>
      </w:r>
      <w:r w:rsidR="00B714E6">
        <w:rPr>
          <w:rFonts w:ascii="Arial" w:hAnsi="Arial" w:cs="Arial"/>
          <w:bCs/>
          <w:sz w:val="20"/>
          <w:szCs w:val="20"/>
          <w:lang w:val="es-CO"/>
        </w:rPr>
        <w:t xml:space="preserve"> del presente capítulo</w:t>
      </w:r>
      <w:r w:rsidR="00157C63">
        <w:rPr>
          <w:rFonts w:ascii="Arial" w:hAnsi="Arial" w:cs="Arial"/>
          <w:bCs/>
          <w:sz w:val="20"/>
          <w:szCs w:val="20"/>
          <w:lang w:val="es-CO"/>
        </w:rPr>
        <w:t>.</w:t>
      </w:r>
    </w:p>
    <w:p w14:paraId="257EA53D" w14:textId="77777777" w:rsidR="00157C63" w:rsidRDefault="00157C63" w:rsidP="00666496">
      <w:pPr>
        <w:jc w:val="both"/>
        <w:rPr>
          <w:rFonts w:ascii="Arial" w:hAnsi="Arial" w:cs="Arial"/>
          <w:bCs/>
          <w:sz w:val="20"/>
          <w:szCs w:val="20"/>
          <w:lang w:val="es-CO"/>
        </w:rPr>
      </w:pPr>
    </w:p>
    <w:p w14:paraId="4A208444" w14:textId="5795FCA3" w:rsidR="00157C63" w:rsidRPr="00157C63" w:rsidRDefault="00577EEA" w:rsidP="00157C63">
      <w:pPr>
        <w:jc w:val="both"/>
        <w:rPr>
          <w:rFonts w:ascii="Arial" w:hAnsi="Arial" w:cs="Arial"/>
          <w:bCs/>
          <w:sz w:val="20"/>
          <w:szCs w:val="20"/>
          <w:lang w:val="es-CO"/>
        </w:rPr>
      </w:pPr>
      <m:oMath>
        <m:r>
          <w:rPr>
            <w:rFonts w:ascii="Cambria Math" w:hAnsi="Cambria Math" w:cs="Arial"/>
            <w:sz w:val="20"/>
            <w:szCs w:val="20"/>
            <w:lang w:val="es-CO"/>
          </w:rPr>
          <m:t>Prima de iliquidez</m:t>
        </m:r>
      </m:oMath>
      <w:r w:rsidR="00157C63" w:rsidRPr="00157C63">
        <w:rPr>
          <w:rFonts w:ascii="Arial" w:hAnsi="Arial" w:cs="Arial"/>
          <w:bCs/>
          <w:sz w:val="20"/>
          <w:szCs w:val="20"/>
          <w:lang w:val="es-CO"/>
        </w:rPr>
        <w:t xml:space="preserve">: </w:t>
      </w:r>
      <w:r w:rsidR="00A65291">
        <w:rPr>
          <w:rFonts w:ascii="Arial" w:hAnsi="Arial" w:cs="Arial"/>
          <w:bCs/>
          <w:sz w:val="20"/>
          <w:szCs w:val="20"/>
          <w:lang w:val="es-CO"/>
        </w:rPr>
        <w:t>corresponde</w:t>
      </w:r>
      <w:r w:rsidR="00157C63">
        <w:rPr>
          <w:rFonts w:ascii="Arial" w:hAnsi="Arial" w:cs="Arial"/>
          <w:bCs/>
          <w:sz w:val="20"/>
          <w:szCs w:val="20"/>
          <w:lang w:val="es-CO"/>
        </w:rPr>
        <w:t xml:space="preserve"> </w:t>
      </w:r>
      <w:r w:rsidR="00D9540A">
        <w:rPr>
          <w:rFonts w:ascii="Arial" w:hAnsi="Arial" w:cs="Arial"/>
          <w:bCs/>
          <w:sz w:val="20"/>
          <w:szCs w:val="20"/>
          <w:lang w:val="es-CO"/>
        </w:rPr>
        <w:t>a</w:t>
      </w:r>
      <w:r w:rsidR="007E0733">
        <w:rPr>
          <w:rFonts w:ascii="Arial" w:hAnsi="Arial" w:cs="Arial"/>
          <w:bCs/>
          <w:sz w:val="20"/>
          <w:szCs w:val="20"/>
          <w:lang w:val="es-CO"/>
        </w:rPr>
        <w:t xml:space="preserve">l ajuste que </w:t>
      </w:r>
      <w:r w:rsidR="003C65BF">
        <w:rPr>
          <w:rFonts w:ascii="Arial" w:hAnsi="Arial" w:cs="Arial"/>
          <w:bCs/>
          <w:sz w:val="20"/>
          <w:szCs w:val="20"/>
          <w:lang w:val="es-CO"/>
        </w:rPr>
        <w:t xml:space="preserve">captura </w:t>
      </w:r>
      <w:r w:rsidR="003B7627">
        <w:rPr>
          <w:rFonts w:ascii="Arial" w:hAnsi="Arial" w:cs="Arial"/>
          <w:bCs/>
          <w:sz w:val="20"/>
          <w:szCs w:val="20"/>
          <w:lang w:val="es-CO"/>
        </w:rPr>
        <w:t xml:space="preserve">las </w:t>
      </w:r>
      <w:r w:rsidR="00C24834">
        <w:rPr>
          <w:rFonts w:ascii="Arial" w:hAnsi="Arial" w:cs="Arial"/>
          <w:bCs/>
          <w:sz w:val="20"/>
          <w:szCs w:val="20"/>
          <w:lang w:val="es-CO"/>
        </w:rPr>
        <w:t xml:space="preserve">diferencias </w:t>
      </w:r>
      <w:r w:rsidR="00C43983">
        <w:rPr>
          <w:rFonts w:ascii="Arial" w:hAnsi="Arial" w:cs="Arial"/>
          <w:bCs/>
          <w:sz w:val="20"/>
          <w:szCs w:val="20"/>
          <w:lang w:val="es-CO"/>
        </w:rPr>
        <w:t xml:space="preserve">entre </w:t>
      </w:r>
      <w:r w:rsidR="001306D5">
        <w:rPr>
          <w:rFonts w:ascii="Arial" w:hAnsi="Arial" w:cs="Arial"/>
          <w:bCs/>
          <w:sz w:val="20"/>
          <w:szCs w:val="20"/>
          <w:lang w:val="es-CO"/>
        </w:rPr>
        <w:t xml:space="preserve">la liquidez de </w:t>
      </w:r>
      <w:r w:rsidR="00C43983">
        <w:rPr>
          <w:rFonts w:ascii="Arial" w:hAnsi="Arial" w:cs="Arial"/>
          <w:bCs/>
          <w:sz w:val="20"/>
          <w:szCs w:val="20"/>
          <w:lang w:val="es-CO"/>
        </w:rPr>
        <w:t>los instrumentos financieros que cotizan en el mercado</w:t>
      </w:r>
      <w:r w:rsidR="006E6EA3">
        <w:rPr>
          <w:rFonts w:ascii="Arial" w:hAnsi="Arial" w:cs="Arial"/>
          <w:bCs/>
          <w:sz w:val="20"/>
          <w:szCs w:val="20"/>
          <w:lang w:val="es-CO"/>
        </w:rPr>
        <w:t xml:space="preserve"> </w:t>
      </w:r>
      <w:r w:rsidR="001306D5">
        <w:rPr>
          <w:rFonts w:ascii="Arial" w:hAnsi="Arial" w:cs="Arial"/>
          <w:bCs/>
          <w:sz w:val="20"/>
          <w:szCs w:val="20"/>
          <w:lang w:val="es-CO"/>
        </w:rPr>
        <w:t>y la liquidez de los contra</w:t>
      </w:r>
      <w:r w:rsidR="00B00E93">
        <w:rPr>
          <w:rFonts w:ascii="Arial" w:hAnsi="Arial" w:cs="Arial"/>
          <w:bCs/>
          <w:sz w:val="20"/>
          <w:szCs w:val="20"/>
          <w:lang w:val="es-CO"/>
        </w:rPr>
        <w:t xml:space="preserve">tos de seguro, de acuerdo </w:t>
      </w:r>
      <w:r w:rsidR="00B714E6">
        <w:rPr>
          <w:rFonts w:ascii="Arial" w:hAnsi="Arial" w:cs="Arial"/>
          <w:bCs/>
          <w:sz w:val="20"/>
          <w:szCs w:val="20"/>
          <w:lang w:val="es-CO"/>
        </w:rPr>
        <w:t xml:space="preserve">con lo señalado en el numeral </w:t>
      </w:r>
      <w:r w:rsidR="0007052C">
        <w:rPr>
          <w:rFonts w:ascii="Arial" w:hAnsi="Arial" w:cs="Arial"/>
          <w:bCs/>
          <w:sz w:val="20"/>
          <w:szCs w:val="20"/>
          <w:lang w:val="es-CO"/>
        </w:rPr>
        <w:t>3.3.2.</w:t>
      </w:r>
      <w:r w:rsidR="00B714E6">
        <w:rPr>
          <w:rFonts w:ascii="Arial" w:hAnsi="Arial" w:cs="Arial"/>
          <w:bCs/>
          <w:sz w:val="20"/>
          <w:szCs w:val="20"/>
          <w:lang w:val="es-CO"/>
        </w:rPr>
        <w:t xml:space="preserve"> del presente capítulo.</w:t>
      </w:r>
    </w:p>
    <w:p w14:paraId="3B8103EA" w14:textId="6DDC8B2A" w:rsidR="00157C63" w:rsidRDefault="00157C63" w:rsidP="00666496">
      <w:pPr>
        <w:jc w:val="both"/>
        <w:rPr>
          <w:rFonts w:ascii="Arial" w:hAnsi="Arial" w:cs="Arial"/>
          <w:bCs/>
          <w:sz w:val="20"/>
          <w:szCs w:val="20"/>
          <w:lang w:val="es-CO"/>
        </w:rPr>
      </w:pPr>
    </w:p>
    <w:p w14:paraId="5A3F3176" w14:textId="57109D46" w:rsidR="00B21A8C" w:rsidRDefault="00B21A8C" w:rsidP="00BE2CFC">
      <w:pPr>
        <w:pStyle w:val="Prrafodelista"/>
        <w:numPr>
          <w:ilvl w:val="2"/>
          <w:numId w:val="1"/>
        </w:numPr>
        <w:ind w:left="851" w:hanging="851"/>
        <w:jc w:val="both"/>
        <w:rPr>
          <w:rFonts w:ascii="Arial" w:hAnsi="Arial" w:cs="Arial"/>
          <w:b/>
          <w:sz w:val="20"/>
          <w:szCs w:val="20"/>
          <w:lang w:val="es-CO"/>
        </w:rPr>
      </w:pPr>
      <w:r w:rsidRPr="00B21A8C">
        <w:rPr>
          <w:rFonts w:ascii="Arial" w:hAnsi="Arial" w:cs="Arial"/>
          <w:b/>
          <w:sz w:val="20"/>
          <w:szCs w:val="20"/>
          <w:lang w:val="es-CO"/>
        </w:rPr>
        <w:t>Curva libre de riesgo</w:t>
      </w:r>
    </w:p>
    <w:p w14:paraId="45DEC11C" w14:textId="77777777" w:rsidR="00B21A8C" w:rsidRDefault="00B21A8C" w:rsidP="00B21A8C">
      <w:pPr>
        <w:jc w:val="both"/>
        <w:rPr>
          <w:rFonts w:ascii="Arial" w:hAnsi="Arial" w:cs="Arial"/>
          <w:b/>
          <w:sz w:val="20"/>
          <w:szCs w:val="20"/>
          <w:lang w:val="es-CO"/>
        </w:rPr>
      </w:pPr>
    </w:p>
    <w:p w14:paraId="5B3A9DE5" w14:textId="7A0BD802" w:rsidR="00BF6FA6" w:rsidRDefault="00067F19" w:rsidP="00BF6FA6">
      <w:pPr>
        <w:jc w:val="both"/>
        <w:rPr>
          <w:rFonts w:ascii="Arial" w:hAnsi="Arial" w:cs="Arial"/>
          <w:bCs/>
          <w:sz w:val="20"/>
          <w:szCs w:val="20"/>
          <w:lang w:val="es-CO"/>
        </w:rPr>
      </w:pPr>
      <w:r w:rsidRPr="005B0D7F">
        <w:rPr>
          <w:rFonts w:ascii="Arial" w:hAnsi="Arial" w:cs="Arial"/>
          <w:sz w:val="20"/>
          <w:szCs w:val="20"/>
          <w:lang w:val="es-CO"/>
        </w:rPr>
        <w:t xml:space="preserve">Como parte de la tasa de descuento para los </w:t>
      </w:r>
      <w:r w:rsidR="00332536" w:rsidRPr="005B0D7F">
        <w:rPr>
          <w:rFonts w:ascii="Arial" w:hAnsi="Arial" w:cs="Arial"/>
          <w:sz w:val="20"/>
          <w:szCs w:val="20"/>
          <w:lang w:val="es-CO"/>
        </w:rPr>
        <w:t>flujos futuros de efectivo</w:t>
      </w:r>
      <w:r w:rsidR="00BF6FA6" w:rsidRPr="005B0D7F">
        <w:rPr>
          <w:rFonts w:ascii="Arial" w:hAnsi="Arial" w:cs="Arial"/>
          <w:sz w:val="20"/>
          <w:szCs w:val="20"/>
          <w:lang w:val="es-CO"/>
        </w:rPr>
        <w:t xml:space="preserve">, las entidades deben aplicar </w:t>
      </w:r>
      <w:r w:rsidR="00F9037D" w:rsidRPr="005B0D7F">
        <w:rPr>
          <w:rFonts w:ascii="Arial" w:hAnsi="Arial" w:cs="Arial"/>
          <w:sz w:val="20"/>
          <w:szCs w:val="20"/>
          <w:lang w:val="es-CO"/>
        </w:rPr>
        <w:t xml:space="preserve">las curvas de rendimiento </w:t>
      </w:r>
      <w:r w:rsidR="004B6CF8" w:rsidRPr="005B0D7F">
        <w:rPr>
          <w:rFonts w:ascii="Arial" w:hAnsi="Arial" w:cs="Arial"/>
          <w:sz w:val="20"/>
          <w:szCs w:val="20"/>
          <w:lang w:val="es-CO"/>
        </w:rPr>
        <w:t xml:space="preserve">libre de riesgo </w:t>
      </w:r>
      <w:r w:rsidR="00B66BFD" w:rsidRPr="005B0D7F">
        <w:rPr>
          <w:rFonts w:ascii="Arial" w:hAnsi="Arial" w:cs="Arial"/>
          <w:sz w:val="20"/>
          <w:szCs w:val="20"/>
          <w:lang w:val="es-CO"/>
        </w:rPr>
        <w:t xml:space="preserve">que </w:t>
      </w:r>
      <w:r w:rsidR="00B943D8" w:rsidRPr="005B0D7F">
        <w:rPr>
          <w:rFonts w:ascii="Arial" w:hAnsi="Arial" w:cs="Arial"/>
          <w:sz w:val="20"/>
          <w:szCs w:val="20"/>
          <w:lang w:val="es-CO"/>
        </w:rPr>
        <w:t xml:space="preserve">calcula la SFC de acuerdo con el numeral 1.1. del artículo 2.31.4.1.4. del Decreto 2555 de 2010, y que se </w:t>
      </w:r>
      <w:r w:rsidR="00B66BFD" w:rsidRPr="005B0D7F">
        <w:rPr>
          <w:rFonts w:ascii="Arial" w:hAnsi="Arial" w:cs="Arial"/>
          <w:sz w:val="20"/>
          <w:szCs w:val="20"/>
          <w:lang w:val="es-CO"/>
        </w:rPr>
        <w:t>publica</w:t>
      </w:r>
      <w:r w:rsidR="00B943D8" w:rsidRPr="005B0D7F">
        <w:rPr>
          <w:rFonts w:ascii="Arial" w:hAnsi="Arial" w:cs="Arial"/>
          <w:sz w:val="20"/>
          <w:szCs w:val="20"/>
          <w:lang w:val="es-CO"/>
        </w:rPr>
        <w:t xml:space="preserve">n </w:t>
      </w:r>
      <w:r w:rsidR="00B66BFD" w:rsidRPr="005B0D7F">
        <w:rPr>
          <w:rFonts w:ascii="Arial" w:hAnsi="Arial" w:cs="Arial"/>
          <w:sz w:val="20"/>
          <w:szCs w:val="20"/>
          <w:lang w:val="es-CO"/>
        </w:rPr>
        <w:t xml:space="preserve">de forma mensual </w:t>
      </w:r>
      <w:r w:rsidR="00393033" w:rsidRPr="005B0D7F">
        <w:rPr>
          <w:rFonts w:ascii="Arial" w:hAnsi="Arial" w:cs="Arial"/>
          <w:sz w:val="20"/>
          <w:szCs w:val="20"/>
          <w:lang w:val="es-CO"/>
        </w:rPr>
        <w:t>en mon</w:t>
      </w:r>
      <w:r w:rsidR="0074084E" w:rsidRPr="005B0D7F">
        <w:rPr>
          <w:rFonts w:ascii="Arial" w:hAnsi="Arial" w:cs="Arial"/>
          <w:sz w:val="20"/>
          <w:szCs w:val="20"/>
          <w:lang w:val="es-CO"/>
        </w:rPr>
        <w:t>eda local (COP) y en unidades de valor real (UVR)</w:t>
      </w:r>
      <w:r w:rsidR="00774051" w:rsidRPr="005B0D7F">
        <w:rPr>
          <w:rFonts w:ascii="Arial" w:hAnsi="Arial" w:cs="Arial"/>
          <w:sz w:val="20"/>
          <w:szCs w:val="20"/>
          <w:lang w:val="es-CO"/>
        </w:rPr>
        <w:t>, de acuerdo con el documento técnico publicado en la página web de la SFC</w:t>
      </w:r>
      <w:r w:rsidR="0074084E" w:rsidRPr="005B0D7F">
        <w:rPr>
          <w:rFonts w:ascii="Arial" w:hAnsi="Arial" w:cs="Arial"/>
          <w:sz w:val="20"/>
          <w:szCs w:val="20"/>
          <w:lang w:val="es-CO"/>
        </w:rPr>
        <w:t>.</w:t>
      </w:r>
    </w:p>
    <w:p w14:paraId="72C840D7" w14:textId="77777777" w:rsidR="00BF6FA6" w:rsidRDefault="00BF6FA6" w:rsidP="00BF6FA6">
      <w:pPr>
        <w:jc w:val="both"/>
        <w:rPr>
          <w:rFonts w:ascii="Arial" w:hAnsi="Arial" w:cs="Arial"/>
          <w:bCs/>
          <w:sz w:val="20"/>
          <w:szCs w:val="20"/>
          <w:lang w:val="es-CO"/>
        </w:rPr>
      </w:pPr>
    </w:p>
    <w:p w14:paraId="66C2377F" w14:textId="28814F26" w:rsidR="00CA4727" w:rsidRDefault="00BF6FA6" w:rsidP="00B21A8C">
      <w:pPr>
        <w:jc w:val="both"/>
        <w:rPr>
          <w:rFonts w:ascii="Arial" w:hAnsi="Arial" w:cs="Arial"/>
          <w:bCs/>
          <w:sz w:val="20"/>
          <w:szCs w:val="20"/>
          <w:lang w:val="es-CO"/>
        </w:rPr>
      </w:pPr>
      <w:r w:rsidRPr="00F4745F">
        <w:rPr>
          <w:rFonts w:ascii="Arial" w:hAnsi="Arial" w:cs="Arial"/>
          <w:bCs/>
          <w:sz w:val="20"/>
          <w:szCs w:val="20"/>
          <w:lang w:val="es-CO"/>
        </w:rPr>
        <w:lastRenderedPageBreak/>
        <w:t xml:space="preserve">De forma alternativa, las entidades podrán utilizar </w:t>
      </w:r>
      <w:r w:rsidR="00F27D96" w:rsidRPr="00F4745F">
        <w:rPr>
          <w:rFonts w:ascii="Arial" w:hAnsi="Arial" w:cs="Arial"/>
          <w:bCs/>
          <w:sz w:val="20"/>
          <w:szCs w:val="20"/>
          <w:lang w:val="es-CO"/>
        </w:rPr>
        <w:t xml:space="preserve">las curvas libres de riesgo que suministre el proveedor </w:t>
      </w:r>
      <w:r w:rsidR="00C35F83" w:rsidRPr="00F4745F">
        <w:rPr>
          <w:rFonts w:ascii="Arial" w:hAnsi="Arial" w:cs="Arial"/>
          <w:bCs/>
          <w:sz w:val="20"/>
          <w:szCs w:val="20"/>
          <w:lang w:val="es-CO"/>
        </w:rPr>
        <w:t xml:space="preserve">de precios </w:t>
      </w:r>
      <w:r w:rsidR="00C34C0E" w:rsidRPr="00F4745F">
        <w:rPr>
          <w:rFonts w:ascii="Arial" w:hAnsi="Arial" w:cs="Arial"/>
          <w:bCs/>
          <w:sz w:val="20"/>
          <w:szCs w:val="20"/>
          <w:lang w:val="es-CO"/>
        </w:rPr>
        <w:t xml:space="preserve">designado </w:t>
      </w:r>
      <w:r w:rsidR="008D31BB" w:rsidRPr="00F4745F">
        <w:rPr>
          <w:rFonts w:ascii="Arial" w:hAnsi="Arial" w:cs="Arial"/>
          <w:bCs/>
          <w:sz w:val="20"/>
          <w:szCs w:val="20"/>
          <w:lang w:val="es-CO"/>
        </w:rPr>
        <w:t xml:space="preserve">como oficial </w:t>
      </w:r>
      <w:r w:rsidR="00C34C0E" w:rsidRPr="00F4745F">
        <w:rPr>
          <w:rFonts w:ascii="Arial" w:hAnsi="Arial" w:cs="Arial"/>
          <w:bCs/>
          <w:sz w:val="20"/>
          <w:szCs w:val="20"/>
          <w:lang w:val="es-CO"/>
        </w:rPr>
        <w:t xml:space="preserve">por </w:t>
      </w:r>
      <w:r w:rsidR="00F4745F">
        <w:rPr>
          <w:rFonts w:ascii="Arial" w:hAnsi="Arial" w:cs="Arial"/>
          <w:bCs/>
          <w:sz w:val="20"/>
          <w:szCs w:val="20"/>
          <w:lang w:val="es-CO"/>
        </w:rPr>
        <w:t xml:space="preserve">cada </w:t>
      </w:r>
      <w:r w:rsidR="008D31BB" w:rsidRPr="00F4745F">
        <w:rPr>
          <w:rFonts w:ascii="Arial" w:hAnsi="Arial" w:cs="Arial"/>
          <w:bCs/>
          <w:sz w:val="20"/>
          <w:szCs w:val="20"/>
          <w:lang w:val="es-CO"/>
        </w:rPr>
        <w:t>entidad</w:t>
      </w:r>
      <w:r w:rsidR="00A27172" w:rsidRPr="00F4745F">
        <w:rPr>
          <w:rFonts w:ascii="Arial" w:hAnsi="Arial" w:cs="Arial"/>
          <w:bCs/>
          <w:sz w:val="20"/>
          <w:szCs w:val="20"/>
          <w:lang w:val="es-CO"/>
        </w:rPr>
        <w:t>. En este caso</w:t>
      </w:r>
      <w:r w:rsidR="00D43CB2" w:rsidRPr="00F4745F">
        <w:rPr>
          <w:rFonts w:ascii="Arial" w:hAnsi="Arial" w:cs="Arial"/>
          <w:bCs/>
          <w:sz w:val="20"/>
          <w:szCs w:val="20"/>
          <w:lang w:val="es-CO"/>
        </w:rPr>
        <w:t xml:space="preserve">, </w:t>
      </w:r>
      <w:r w:rsidR="00034AFD" w:rsidRPr="00F4745F">
        <w:rPr>
          <w:rFonts w:ascii="Arial" w:hAnsi="Arial" w:cs="Arial"/>
          <w:bCs/>
          <w:sz w:val="20"/>
          <w:szCs w:val="20"/>
          <w:lang w:val="es-CO"/>
        </w:rPr>
        <w:t xml:space="preserve">las curvas </w:t>
      </w:r>
      <w:r w:rsidR="000D2633" w:rsidRPr="00F4745F">
        <w:rPr>
          <w:rFonts w:ascii="Arial" w:hAnsi="Arial" w:cs="Arial"/>
          <w:bCs/>
          <w:sz w:val="20"/>
          <w:szCs w:val="20"/>
          <w:lang w:val="es-CO"/>
        </w:rPr>
        <w:t>suministradas por el proveedor</w:t>
      </w:r>
      <w:r w:rsidR="00CF2CB9">
        <w:rPr>
          <w:rFonts w:ascii="Arial" w:hAnsi="Arial" w:cs="Arial"/>
          <w:bCs/>
          <w:sz w:val="20"/>
          <w:szCs w:val="20"/>
          <w:lang w:val="es-CO"/>
        </w:rPr>
        <w:t>, para cada moneda,</w:t>
      </w:r>
      <w:r w:rsidR="000D2633" w:rsidRPr="00F4745F">
        <w:rPr>
          <w:rFonts w:ascii="Arial" w:hAnsi="Arial" w:cs="Arial"/>
          <w:bCs/>
          <w:sz w:val="20"/>
          <w:szCs w:val="20"/>
          <w:lang w:val="es-CO"/>
        </w:rPr>
        <w:t xml:space="preserve"> </w:t>
      </w:r>
      <w:r w:rsidR="00CA4727">
        <w:rPr>
          <w:rFonts w:ascii="Arial" w:hAnsi="Arial" w:cs="Arial"/>
          <w:bCs/>
          <w:sz w:val="20"/>
          <w:szCs w:val="20"/>
          <w:lang w:val="es-CO"/>
        </w:rPr>
        <w:t xml:space="preserve">utilizadas por las entidades vigiladas </w:t>
      </w:r>
      <w:r w:rsidR="000D2633" w:rsidRPr="00F4745F">
        <w:rPr>
          <w:rFonts w:ascii="Arial" w:hAnsi="Arial" w:cs="Arial"/>
          <w:bCs/>
          <w:sz w:val="20"/>
          <w:szCs w:val="20"/>
          <w:lang w:val="es-CO"/>
        </w:rPr>
        <w:t xml:space="preserve">deben cumplir con los requisitos </w:t>
      </w:r>
      <w:r w:rsidR="00821B7A" w:rsidRPr="00F4745F">
        <w:rPr>
          <w:rFonts w:ascii="Arial" w:hAnsi="Arial" w:cs="Arial"/>
          <w:bCs/>
          <w:sz w:val="20"/>
          <w:szCs w:val="20"/>
          <w:lang w:val="es-CO"/>
        </w:rPr>
        <w:t xml:space="preserve">previstos en </w:t>
      </w:r>
      <w:r w:rsidR="00F4745F">
        <w:rPr>
          <w:rFonts w:ascii="Arial" w:hAnsi="Arial" w:cs="Arial"/>
          <w:bCs/>
          <w:sz w:val="20"/>
          <w:szCs w:val="20"/>
          <w:lang w:val="es-CO"/>
        </w:rPr>
        <w:t xml:space="preserve">el numeral 1.1. del </w:t>
      </w:r>
      <w:r w:rsidR="00F4745F" w:rsidRPr="004026DD">
        <w:rPr>
          <w:rFonts w:ascii="Arial" w:hAnsi="Arial" w:cs="Arial"/>
          <w:bCs/>
          <w:sz w:val="20"/>
          <w:szCs w:val="20"/>
          <w:lang w:val="es-CO"/>
        </w:rPr>
        <w:t>artículo 2.31.4.1.4. del Decreto 2555 de 2010</w:t>
      </w:r>
      <w:r w:rsidR="009E786F">
        <w:rPr>
          <w:rFonts w:ascii="Arial" w:hAnsi="Arial" w:cs="Arial"/>
          <w:bCs/>
          <w:sz w:val="20"/>
          <w:szCs w:val="20"/>
          <w:lang w:val="es-CO"/>
        </w:rPr>
        <w:t xml:space="preserve">. Adicionalmente, </w:t>
      </w:r>
      <w:r w:rsidR="00F11332">
        <w:rPr>
          <w:rFonts w:ascii="Arial" w:hAnsi="Arial" w:cs="Arial"/>
          <w:bCs/>
          <w:sz w:val="20"/>
          <w:szCs w:val="20"/>
          <w:lang w:val="es-CO"/>
        </w:rPr>
        <w:t>de forma previa</w:t>
      </w:r>
      <w:r w:rsidR="00B1200E">
        <w:rPr>
          <w:rFonts w:ascii="Arial" w:hAnsi="Arial" w:cs="Arial"/>
          <w:bCs/>
          <w:sz w:val="20"/>
          <w:szCs w:val="20"/>
          <w:lang w:val="es-CO"/>
        </w:rPr>
        <w:t xml:space="preserve"> a la implementación </w:t>
      </w:r>
      <w:r w:rsidR="009944F0">
        <w:rPr>
          <w:rFonts w:ascii="Arial" w:hAnsi="Arial" w:cs="Arial"/>
          <w:bCs/>
          <w:sz w:val="20"/>
          <w:szCs w:val="20"/>
          <w:lang w:val="es-CO"/>
        </w:rPr>
        <w:t>de las curvas</w:t>
      </w:r>
      <w:r w:rsidR="00B1200E">
        <w:rPr>
          <w:rFonts w:ascii="Arial" w:hAnsi="Arial" w:cs="Arial"/>
          <w:bCs/>
          <w:sz w:val="20"/>
          <w:szCs w:val="20"/>
          <w:lang w:val="es-CO"/>
        </w:rPr>
        <w:t>, las entidades deben remitir a la SFC</w:t>
      </w:r>
      <w:r w:rsidR="009944F0">
        <w:rPr>
          <w:rFonts w:ascii="Arial" w:hAnsi="Arial" w:cs="Arial"/>
          <w:bCs/>
          <w:sz w:val="20"/>
          <w:szCs w:val="20"/>
          <w:lang w:val="es-CO"/>
        </w:rPr>
        <w:t xml:space="preserve"> </w:t>
      </w:r>
      <w:r>
        <w:rPr>
          <w:rFonts w:ascii="Arial" w:hAnsi="Arial" w:cs="Arial"/>
          <w:bCs/>
          <w:sz w:val="20"/>
          <w:szCs w:val="20"/>
          <w:lang w:val="es-CO"/>
        </w:rPr>
        <w:t xml:space="preserve">una solicitud de no objeción, incluyendo como mínimo: (i) </w:t>
      </w:r>
      <w:r w:rsidR="002E6163">
        <w:rPr>
          <w:rFonts w:ascii="Arial" w:hAnsi="Arial" w:cs="Arial"/>
          <w:bCs/>
          <w:sz w:val="20"/>
          <w:szCs w:val="20"/>
          <w:lang w:val="es-CO"/>
        </w:rPr>
        <w:t xml:space="preserve">información </w:t>
      </w:r>
      <w:r w:rsidR="00341C73">
        <w:rPr>
          <w:rFonts w:ascii="Arial" w:hAnsi="Arial" w:cs="Arial"/>
          <w:bCs/>
          <w:sz w:val="20"/>
          <w:szCs w:val="20"/>
          <w:lang w:val="es-CO"/>
        </w:rPr>
        <w:t xml:space="preserve">del proveedor </w:t>
      </w:r>
      <w:r w:rsidR="00481D7A">
        <w:rPr>
          <w:rFonts w:ascii="Arial" w:hAnsi="Arial" w:cs="Arial"/>
          <w:bCs/>
          <w:sz w:val="20"/>
          <w:szCs w:val="20"/>
          <w:lang w:val="es-CO"/>
        </w:rPr>
        <w:t>de precios designado como oficial; (</w:t>
      </w:r>
      <w:proofErr w:type="spellStart"/>
      <w:r w:rsidR="00481D7A">
        <w:rPr>
          <w:rFonts w:ascii="Arial" w:hAnsi="Arial" w:cs="Arial"/>
          <w:bCs/>
          <w:sz w:val="20"/>
          <w:szCs w:val="20"/>
          <w:lang w:val="es-CO"/>
        </w:rPr>
        <w:t>ii</w:t>
      </w:r>
      <w:proofErr w:type="spellEnd"/>
      <w:r w:rsidR="00481D7A">
        <w:rPr>
          <w:rFonts w:ascii="Arial" w:hAnsi="Arial" w:cs="Arial"/>
          <w:bCs/>
          <w:sz w:val="20"/>
          <w:szCs w:val="20"/>
          <w:lang w:val="es-CO"/>
        </w:rPr>
        <w:t xml:space="preserve">) </w:t>
      </w:r>
      <w:r w:rsidR="00F11332" w:rsidRPr="0068238D">
        <w:rPr>
          <w:rFonts w:ascii="Arial" w:hAnsi="Arial" w:cs="Arial"/>
          <w:bCs/>
          <w:sz w:val="20"/>
          <w:szCs w:val="20"/>
          <w:lang w:val="es-CO"/>
        </w:rPr>
        <w:t>motivación de la solicitu</w:t>
      </w:r>
      <w:r w:rsidR="0068238D" w:rsidRPr="0068238D">
        <w:rPr>
          <w:rFonts w:ascii="Arial" w:hAnsi="Arial" w:cs="Arial"/>
          <w:bCs/>
          <w:sz w:val="20"/>
          <w:szCs w:val="20"/>
          <w:lang w:val="es-CO"/>
        </w:rPr>
        <w:t xml:space="preserve">d </w:t>
      </w:r>
      <w:r w:rsidR="00460C18" w:rsidRPr="0068238D">
        <w:rPr>
          <w:rFonts w:ascii="Arial" w:hAnsi="Arial" w:cs="Arial"/>
          <w:bCs/>
          <w:sz w:val="20"/>
          <w:szCs w:val="20"/>
          <w:lang w:val="es-CO"/>
        </w:rPr>
        <w:t>en la cual se presenten los argumentos técnicos y financieros que explican que es adecuado emplear una curva distinta de la publicada por la SFC</w:t>
      </w:r>
      <w:r w:rsidR="0068238D">
        <w:rPr>
          <w:rFonts w:ascii="Arial" w:hAnsi="Arial" w:cs="Arial"/>
          <w:bCs/>
          <w:sz w:val="20"/>
          <w:szCs w:val="20"/>
          <w:lang w:val="es-CO"/>
        </w:rPr>
        <w:t>,</w:t>
      </w:r>
      <w:r w:rsidR="00E17715">
        <w:rPr>
          <w:rFonts w:ascii="Arial" w:hAnsi="Arial" w:cs="Arial"/>
          <w:bCs/>
          <w:sz w:val="20"/>
          <w:szCs w:val="20"/>
          <w:lang w:val="es-CO"/>
        </w:rPr>
        <w:t xml:space="preserve"> (</w:t>
      </w:r>
      <w:proofErr w:type="spellStart"/>
      <w:r w:rsidR="00E17715">
        <w:rPr>
          <w:rFonts w:ascii="Arial" w:hAnsi="Arial" w:cs="Arial"/>
          <w:bCs/>
          <w:sz w:val="20"/>
          <w:szCs w:val="20"/>
          <w:lang w:val="es-CO"/>
        </w:rPr>
        <w:t>iii</w:t>
      </w:r>
      <w:proofErr w:type="spellEnd"/>
      <w:r w:rsidR="00E17715">
        <w:rPr>
          <w:rFonts w:ascii="Arial" w:hAnsi="Arial" w:cs="Arial"/>
          <w:bCs/>
          <w:sz w:val="20"/>
          <w:szCs w:val="20"/>
          <w:lang w:val="es-CO"/>
        </w:rPr>
        <w:t>)</w:t>
      </w:r>
      <w:r w:rsidR="00F11332">
        <w:rPr>
          <w:rFonts w:ascii="Arial" w:hAnsi="Arial" w:cs="Arial"/>
          <w:bCs/>
          <w:sz w:val="20"/>
          <w:szCs w:val="20"/>
          <w:lang w:val="es-CO"/>
        </w:rPr>
        <w:t xml:space="preserve"> </w:t>
      </w:r>
      <w:r>
        <w:rPr>
          <w:rFonts w:ascii="Arial" w:hAnsi="Arial" w:cs="Arial"/>
          <w:bCs/>
          <w:sz w:val="20"/>
          <w:szCs w:val="20"/>
          <w:lang w:val="es-CO"/>
        </w:rPr>
        <w:t xml:space="preserve">comparación de las </w:t>
      </w:r>
      <w:r w:rsidR="00820F4E">
        <w:rPr>
          <w:rFonts w:ascii="Arial" w:hAnsi="Arial" w:cs="Arial"/>
          <w:bCs/>
          <w:sz w:val="20"/>
          <w:szCs w:val="20"/>
          <w:lang w:val="es-CO"/>
        </w:rPr>
        <w:t>curvas suministradas por el proveedor y las publicadas</w:t>
      </w:r>
      <w:r>
        <w:rPr>
          <w:rFonts w:ascii="Arial" w:hAnsi="Arial" w:cs="Arial"/>
          <w:bCs/>
          <w:sz w:val="20"/>
          <w:szCs w:val="20"/>
          <w:lang w:val="es-CO"/>
        </w:rPr>
        <w:t xml:space="preserve"> por la SFC</w:t>
      </w:r>
      <w:r w:rsidR="009E5B7A">
        <w:rPr>
          <w:rFonts w:ascii="Arial" w:hAnsi="Arial" w:cs="Arial"/>
          <w:bCs/>
          <w:sz w:val="20"/>
          <w:szCs w:val="20"/>
          <w:lang w:val="es-CO"/>
        </w:rPr>
        <w:t xml:space="preserve">; </w:t>
      </w:r>
      <w:r>
        <w:rPr>
          <w:rFonts w:ascii="Arial" w:hAnsi="Arial" w:cs="Arial"/>
          <w:bCs/>
          <w:sz w:val="20"/>
          <w:szCs w:val="20"/>
          <w:lang w:val="es-CO"/>
        </w:rPr>
        <w:t>y (</w:t>
      </w:r>
      <w:proofErr w:type="spellStart"/>
      <w:r>
        <w:rPr>
          <w:rFonts w:ascii="Arial" w:hAnsi="Arial" w:cs="Arial"/>
          <w:bCs/>
          <w:sz w:val="20"/>
          <w:szCs w:val="20"/>
          <w:lang w:val="es-CO"/>
        </w:rPr>
        <w:t>i</w:t>
      </w:r>
      <w:r w:rsidR="00231AAD">
        <w:rPr>
          <w:rFonts w:ascii="Arial" w:hAnsi="Arial" w:cs="Arial"/>
          <w:bCs/>
          <w:sz w:val="20"/>
          <w:szCs w:val="20"/>
          <w:lang w:val="es-CO"/>
        </w:rPr>
        <w:t>v</w:t>
      </w:r>
      <w:proofErr w:type="spellEnd"/>
      <w:r>
        <w:rPr>
          <w:rFonts w:ascii="Arial" w:hAnsi="Arial" w:cs="Arial"/>
          <w:bCs/>
          <w:sz w:val="20"/>
          <w:szCs w:val="20"/>
          <w:lang w:val="es-CO"/>
        </w:rPr>
        <w:t>) impactos estimados por la implementación de la</w:t>
      </w:r>
      <w:r w:rsidR="00AF34C2">
        <w:rPr>
          <w:rFonts w:ascii="Arial" w:hAnsi="Arial" w:cs="Arial"/>
          <w:bCs/>
          <w:sz w:val="20"/>
          <w:szCs w:val="20"/>
          <w:lang w:val="es-CO"/>
        </w:rPr>
        <w:t>s</w:t>
      </w:r>
      <w:r w:rsidR="003109F2">
        <w:rPr>
          <w:rFonts w:ascii="Arial" w:hAnsi="Arial" w:cs="Arial"/>
          <w:bCs/>
          <w:sz w:val="20"/>
          <w:szCs w:val="20"/>
          <w:lang w:val="es-CO"/>
        </w:rPr>
        <w:t xml:space="preserve"> curvas del proveedor </w:t>
      </w:r>
      <w:r>
        <w:rPr>
          <w:rFonts w:ascii="Arial" w:hAnsi="Arial" w:cs="Arial"/>
          <w:bCs/>
          <w:sz w:val="20"/>
          <w:szCs w:val="20"/>
          <w:lang w:val="es-CO"/>
        </w:rPr>
        <w:t xml:space="preserve">y diferencias frente a los impactos por la aplicación </w:t>
      </w:r>
      <w:r w:rsidR="00F10729">
        <w:rPr>
          <w:rFonts w:ascii="Arial" w:hAnsi="Arial" w:cs="Arial"/>
          <w:bCs/>
          <w:sz w:val="20"/>
          <w:szCs w:val="20"/>
          <w:lang w:val="es-CO"/>
        </w:rPr>
        <w:t>de</w:t>
      </w:r>
      <w:r>
        <w:rPr>
          <w:rFonts w:ascii="Arial" w:hAnsi="Arial" w:cs="Arial"/>
          <w:bCs/>
          <w:sz w:val="20"/>
          <w:szCs w:val="20"/>
          <w:lang w:val="es-CO"/>
        </w:rPr>
        <w:t xml:space="preserve"> </w:t>
      </w:r>
      <w:r w:rsidR="003109F2">
        <w:rPr>
          <w:rFonts w:ascii="Arial" w:hAnsi="Arial" w:cs="Arial"/>
          <w:bCs/>
          <w:sz w:val="20"/>
          <w:szCs w:val="20"/>
          <w:lang w:val="es-CO"/>
        </w:rPr>
        <w:t>las curvas publicadas por la SFC.</w:t>
      </w:r>
    </w:p>
    <w:p w14:paraId="78D7825C" w14:textId="77777777" w:rsidR="00CA4727" w:rsidRDefault="00CA4727" w:rsidP="00B21A8C">
      <w:pPr>
        <w:jc w:val="both"/>
        <w:rPr>
          <w:rFonts w:ascii="Arial" w:hAnsi="Arial" w:cs="Arial"/>
          <w:bCs/>
          <w:sz w:val="20"/>
          <w:szCs w:val="20"/>
          <w:lang w:val="es-CO"/>
        </w:rPr>
      </w:pPr>
    </w:p>
    <w:p w14:paraId="46E37480" w14:textId="75949240" w:rsidR="00B21A8C" w:rsidRPr="00A25348" w:rsidRDefault="00B31879" w:rsidP="00B21A8C">
      <w:pPr>
        <w:jc w:val="both"/>
        <w:rPr>
          <w:rFonts w:ascii="Arial" w:hAnsi="Arial" w:cs="Arial"/>
          <w:bCs/>
          <w:sz w:val="20"/>
          <w:szCs w:val="20"/>
          <w:lang w:val="es-CO"/>
        </w:rPr>
      </w:pPr>
      <w:r>
        <w:rPr>
          <w:rFonts w:ascii="Arial" w:hAnsi="Arial" w:cs="Arial"/>
          <w:bCs/>
          <w:sz w:val="20"/>
          <w:szCs w:val="20"/>
          <w:lang w:val="es-CO"/>
        </w:rPr>
        <w:t>Las entidades vigiladas que cuenten con no objeción para la utilización de</w:t>
      </w:r>
      <w:r w:rsidR="00637EF8">
        <w:rPr>
          <w:rFonts w:ascii="Arial" w:hAnsi="Arial" w:cs="Arial"/>
          <w:bCs/>
          <w:sz w:val="20"/>
          <w:szCs w:val="20"/>
          <w:lang w:val="es-CO"/>
        </w:rPr>
        <w:t xml:space="preserve"> la</w:t>
      </w:r>
      <w:r w:rsidR="00F03729">
        <w:rPr>
          <w:rFonts w:ascii="Arial" w:hAnsi="Arial" w:cs="Arial"/>
          <w:bCs/>
          <w:sz w:val="20"/>
          <w:szCs w:val="20"/>
          <w:lang w:val="es-CO"/>
        </w:rPr>
        <w:t xml:space="preserve">s curvas de rendimiento libre de riesgo, diferentes a las publicadas por la SFC, deben </w:t>
      </w:r>
      <w:r w:rsidR="00A817E2">
        <w:rPr>
          <w:rFonts w:ascii="Arial" w:hAnsi="Arial" w:cs="Arial"/>
          <w:bCs/>
          <w:sz w:val="20"/>
          <w:szCs w:val="20"/>
          <w:lang w:val="es-CO"/>
        </w:rPr>
        <w:t>revelar</w:t>
      </w:r>
      <w:r w:rsidR="00F03729">
        <w:rPr>
          <w:rFonts w:ascii="Arial" w:hAnsi="Arial" w:cs="Arial"/>
          <w:bCs/>
          <w:sz w:val="20"/>
          <w:szCs w:val="20"/>
          <w:lang w:val="es-CO"/>
        </w:rPr>
        <w:t xml:space="preserve"> en las notas a sus estados financieros</w:t>
      </w:r>
      <w:r w:rsidR="00A817E2">
        <w:rPr>
          <w:rFonts w:ascii="Arial" w:hAnsi="Arial" w:cs="Arial"/>
          <w:bCs/>
          <w:sz w:val="20"/>
          <w:szCs w:val="20"/>
          <w:lang w:val="es-CO"/>
        </w:rPr>
        <w:t xml:space="preserve"> la utilización de la </w:t>
      </w:r>
      <w:r w:rsidR="00C75227">
        <w:rPr>
          <w:rFonts w:ascii="Arial" w:hAnsi="Arial" w:cs="Arial"/>
          <w:bCs/>
          <w:sz w:val="20"/>
          <w:szCs w:val="20"/>
          <w:lang w:val="es-CO"/>
        </w:rPr>
        <w:t xml:space="preserve">correspondiente </w:t>
      </w:r>
      <w:r w:rsidR="00A817E2">
        <w:rPr>
          <w:rFonts w:ascii="Arial" w:hAnsi="Arial" w:cs="Arial"/>
          <w:bCs/>
          <w:sz w:val="20"/>
          <w:szCs w:val="20"/>
          <w:lang w:val="es-CO"/>
        </w:rPr>
        <w:t xml:space="preserve">curva de </w:t>
      </w:r>
      <w:r w:rsidR="00C75227">
        <w:rPr>
          <w:rFonts w:ascii="Arial" w:hAnsi="Arial" w:cs="Arial"/>
          <w:bCs/>
          <w:sz w:val="20"/>
          <w:szCs w:val="20"/>
          <w:lang w:val="es-CO"/>
        </w:rPr>
        <w:t xml:space="preserve">rendimiento libre </w:t>
      </w:r>
      <w:r w:rsidR="00A817E2">
        <w:rPr>
          <w:rFonts w:ascii="Arial" w:hAnsi="Arial" w:cs="Arial"/>
          <w:bCs/>
          <w:sz w:val="20"/>
          <w:szCs w:val="20"/>
          <w:lang w:val="es-CO"/>
        </w:rPr>
        <w:t>riesgo</w:t>
      </w:r>
      <w:r w:rsidR="00923FFC">
        <w:rPr>
          <w:rFonts w:ascii="Arial" w:hAnsi="Arial" w:cs="Arial"/>
          <w:bCs/>
          <w:sz w:val="20"/>
          <w:szCs w:val="20"/>
          <w:lang w:val="es-CO"/>
        </w:rPr>
        <w:t xml:space="preserve">, así como la finalidad de </w:t>
      </w:r>
      <w:r w:rsidR="00031ECD">
        <w:rPr>
          <w:rFonts w:ascii="Arial" w:hAnsi="Arial" w:cs="Arial"/>
          <w:bCs/>
          <w:sz w:val="20"/>
          <w:szCs w:val="20"/>
          <w:lang w:val="es-CO"/>
        </w:rPr>
        <w:t>su uso</w:t>
      </w:r>
      <w:r w:rsidR="00511052">
        <w:rPr>
          <w:rFonts w:ascii="Arial" w:hAnsi="Arial" w:cs="Arial"/>
          <w:bCs/>
          <w:sz w:val="20"/>
          <w:szCs w:val="20"/>
          <w:lang w:val="es-CO"/>
        </w:rPr>
        <w:t>.</w:t>
      </w:r>
    </w:p>
    <w:p w14:paraId="316DD2EC" w14:textId="77777777" w:rsidR="00710964" w:rsidRPr="00B21A8C" w:rsidRDefault="00710964" w:rsidP="00B21A8C">
      <w:pPr>
        <w:jc w:val="both"/>
        <w:rPr>
          <w:rFonts w:ascii="Arial" w:hAnsi="Arial" w:cs="Arial"/>
          <w:b/>
          <w:sz w:val="20"/>
          <w:szCs w:val="20"/>
          <w:lang w:val="es-CO"/>
        </w:rPr>
      </w:pPr>
    </w:p>
    <w:p w14:paraId="114ED227" w14:textId="69B6C359" w:rsidR="00B21A8C" w:rsidRPr="00B21A8C" w:rsidRDefault="00B21A8C" w:rsidP="00BE2CFC">
      <w:pPr>
        <w:pStyle w:val="Prrafodelista"/>
        <w:numPr>
          <w:ilvl w:val="2"/>
          <w:numId w:val="1"/>
        </w:numPr>
        <w:ind w:left="851" w:hanging="851"/>
        <w:jc w:val="both"/>
        <w:rPr>
          <w:rFonts w:ascii="Arial" w:hAnsi="Arial" w:cs="Arial"/>
          <w:b/>
          <w:sz w:val="20"/>
          <w:szCs w:val="20"/>
          <w:lang w:val="es-CO"/>
        </w:rPr>
      </w:pPr>
      <w:r>
        <w:rPr>
          <w:rFonts w:ascii="Arial" w:hAnsi="Arial" w:cs="Arial"/>
          <w:b/>
          <w:sz w:val="20"/>
          <w:szCs w:val="20"/>
          <w:lang w:val="es-CO"/>
        </w:rPr>
        <w:t>Prima de iliquidez</w:t>
      </w:r>
    </w:p>
    <w:p w14:paraId="7BCC864C" w14:textId="1902C847" w:rsidR="00B52E60" w:rsidRDefault="00B52E60" w:rsidP="00666496">
      <w:pPr>
        <w:jc w:val="both"/>
        <w:rPr>
          <w:rFonts w:ascii="Arial" w:hAnsi="Arial" w:cs="Arial"/>
          <w:bCs/>
          <w:sz w:val="20"/>
          <w:szCs w:val="20"/>
          <w:lang w:val="es-CO"/>
        </w:rPr>
      </w:pPr>
    </w:p>
    <w:p w14:paraId="673B1ACF" w14:textId="735E703D" w:rsidR="00256D06" w:rsidRDefault="002B0478" w:rsidP="00C47CCA">
      <w:pPr>
        <w:jc w:val="both"/>
        <w:rPr>
          <w:rFonts w:ascii="Arial" w:hAnsi="Arial" w:cs="Arial"/>
          <w:bCs/>
          <w:sz w:val="20"/>
          <w:szCs w:val="20"/>
          <w:lang w:val="es-CO"/>
        </w:rPr>
      </w:pPr>
      <w:r>
        <w:rPr>
          <w:rFonts w:ascii="Arial" w:hAnsi="Arial" w:cs="Arial"/>
          <w:sz w:val="20"/>
          <w:szCs w:val="20"/>
          <w:lang w:val="es-CO"/>
        </w:rPr>
        <w:t>De acuerdo con el numeral 1 del artículo 2.31.4.1.4. del Decreto 2555 de 2010</w:t>
      </w:r>
      <w:r w:rsidR="000D47BA">
        <w:rPr>
          <w:rFonts w:ascii="Arial" w:hAnsi="Arial" w:cs="Arial"/>
          <w:sz w:val="20"/>
          <w:szCs w:val="20"/>
          <w:lang w:val="es-CO"/>
        </w:rPr>
        <w:t xml:space="preserve">, para </w:t>
      </w:r>
      <w:r w:rsidR="007C68FF">
        <w:rPr>
          <w:rFonts w:ascii="Arial" w:hAnsi="Arial" w:cs="Arial"/>
          <w:sz w:val="20"/>
          <w:szCs w:val="20"/>
          <w:lang w:val="es-CO"/>
        </w:rPr>
        <w:t>los ramos, productos,</w:t>
      </w:r>
      <w:r w:rsidR="000379D1">
        <w:rPr>
          <w:rFonts w:ascii="Arial" w:hAnsi="Arial" w:cs="Arial"/>
          <w:sz w:val="20"/>
          <w:szCs w:val="20"/>
          <w:lang w:val="es-CO"/>
        </w:rPr>
        <w:t xml:space="preserve"> o flujos </w:t>
      </w:r>
      <w:r w:rsidR="00B54E4D">
        <w:rPr>
          <w:rFonts w:ascii="Arial" w:hAnsi="Arial" w:cs="Arial"/>
          <w:sz w:val="20"/>
          <w:szCs w:val="20"/>
          <w:lang w:val="es-CO"/>
        </w:rPr>
        <w:t>definid</w:t>
      </w:r>
      <w:r w:rsidR="000379D1">
        <w:rPr>
          <w:rFonts w:ascii="Arial" w:hAnsi="Arial" w:cs="Arial"/>
          <w:sz w:val="20"/>
          <w:szCs w:val="20"/>
          <w:lang w:val="es-CO"/>
        </w:rPr>
        <w:t>o</w:t>
      </w:r>
      <w:r w:rsidR="00B54E4D">
        <w:rPr>
          <w:rFonts w:ascii="Arial" w:hAnsi="Arial" w:cs="Arial"/>
          <w:sz w:val="20"/>
          <w:szCs w:val="20"/>
          <w:lang w:val="es-CO"/>
        </w:rPr>
        <w:t xml:space="preserve">s en el numeral 1 del </w:t>
      </w:r>
      <w:r w:rsidR="00345345">
        <w:rPr>
          <w:rFonts w:ascii="Arial" w:hAnsi="Arial" w:cs="Arial"/>
          <w:sz w:val="20"/>
          <w:szCs w:val="20"/>
          <w:lang w:val="es-CO"/>
        </w:rPr>
        <w:t>a</w:t>
      </w:r>
      <w:r w:rsidR="00B54E4D">
        <w:rPr>
          <w:rFonts w:ascii="Arial" w:hAnsi="Arial" w:cs="Arial"/>
          <w:sz w:val="20"/>
          <w:szCs w:val="20"/>
          <w:lang w:val="es-CO"/>
        </w:rPr>
        <w:t xml:space="preserve">nexo 6 </w:t>
      </w:r>
      <w:r w:rsidR="002041A9">
        <w:rPr>
          <w:rFonts w:ascii="Arial" w:hAnsi="Arial" w:cs="Arial"/>
          <w:sz w:val="20"/>
          <w:szCs w:val="20"/>
          <w:lang w:val="es-CO"/>
        </w:rPr>
        <w:t>«</w:t>
      </w:r>
      <w:r w:rsidR="00B677CC">
        <w:rPr>
          <w:rFonts w:ascii="Arial" w:hAnsi="Arial" w:cs="Arial"/>
          <w:sz w:val="20"/>
          <w:szCs w:val="20"/>
          <w:lang w:val="es-CO"/>
        </w:rPr>
        <w:t>Metodología</w:t>
      </w:r>
      <w:r w:rsidR="000D47BA">
        <w:rPr>
          <w:rFonts w:ascii="Arial" w:hAnsi="Arial" w:cs="Arial"/>
          <w:sz w:val="20"/>
          <w:szCs w:val="20"/>
          <w:lang w:val="es-CO"/>
        </w:rPr>
        <w:t xml:space="preserve"> de </w:t>
      </w:r>
      <w:r w:rsidR="00B677CC">
        <w:rPr>
          <w:rFonts w:ascii="Arial" w:hAnsi="Arial" w:cs="Arial"/>
          <w:sz w:val="20"/>
          <w:szCs w:val="20"/>
          <w:lang w:val="es-CO"/>
        </w:rPr>
        <w:t>cálculo</w:t>
      </w:r>
      <w:r w:rsidR="000D47BA">
        <w:rPr>
          <w:rFonts w:ascii="Arial" w:hAnsi="Arial" w:cs="Arial"/>
          <w:sz w:val="20"/>
          <w:szCs w:val="20"/>
          <w:lang w:val="es-CO"/>
        </w:rPr>
        <w:t xml:space="preserve"> de </w:t>
      </w:r>
      <w:r w:rsidR="00B677CC">
        <w:rPr>
          <w:rFonts w:ascii="Arial" w:hAnsi="Arial" w:cs="Arial"/>
          <w:sz w:val="20"/>
          <w:szCs w:val="20"/>
          <w:lang w:val="es-CO"/>
        </w:rPr>
        <w:t>la prima</w:t>
      </w:r>
      <w:r w:rsidR="000D47BA">
        <w:rPr>
          <w:rFonts w:ascii="Arial" w:hAnsi="Arial" w:cs="Arial"/>
          <w:sz w:val="20"/>
          <w:szCs w:val="20"/>
          <w:lang w:val="es-CO"/>
        </w:rPr>
        <w:t xml:space="preserve"> de </w:t>
      </w:r>
      <w:r w:rsidR="00B677CC">
        <w:rPr>
          <w:rFonts w:ascii="Arial" w:hAnsi="Arial" w:cs="Arial"/>
          <w:sz w:val="20"/>
          <w:szCs w:val="20"/>
          <w:lang w:val="es-CO"/>
        </w:rPr>
        <w:t>iliquidez</w:t>
      </w:r>
      <w:r w:rsidR="002041A9">
        <w:rPr>
          <w:rFonts w:ascii="Arial" w:hAnsi="Arial" w:cs="Arial"/>
          <w:sz w:val="20"/>
          <w:szCs w:val="20"/>
          <w:lang w:val="es-CO"/>
        </w:rPr>
        <w:t>»</w:t>
      </w:r>
      <w:r w:rsidR="00B677CC">
        <w:rPr>
          <w:rFonts w:ascii="Arial" w:hAnsi="Arial" w:cs="Arial"/>
          <w:sz w:val="20"/>
          <w:szCs w:val="20"/>
          <w:lang w:val="es-CO"/>
        </w:rPr>
        <w:t>,</w:t>
      </w:r>
      <w:r>
        <w:rPr>
          <w:rFonts w:ascii="Arial" w:hAnsi="Arial" w:cs="Arial"/>
          <w:sz w:val="20"/>
          <w:szCs w:val="20"/>
          <w:lang w:val="es-CO"/>
        </w:rPr>
        <w:t xml:space="preserve"> </w:t>
      </w:r>
      <w:r w:rsidR="0054119D">
        <w:rPr>
          <w:rFonts w:ascii="Arial" w:hAnsi="Arial" w:cs="Arial"/>
          <w:sz w:val="20"/>
          <w:szCs w:val="20"/>
          <w:lang w:val="es-CO"/>
        </w:rPr>
        <w:t>a</w:t>
      </w:r>
      <w:r w:rsidR="00C47CCA" w:rsidRPr="0BC7F512">
        <w:rPr>
          <w:rFonts w:ascii="Arial" w:hAnsi="Arial" w:cs="Arial"/>
          <w:sz w:val="20"/>
          <w:szCs w:val="20"/>
          <w:lang w:val="es-CO"/>
        </w:rPr>
        <w:t xml:space="preserve">demás del componente libre riesgo, la tasa de descuento para los </w:t>
      </w:r>
      <w:r w:rsidR="00332536" w:rsidRPr="0BC7F512">
        <w:rPr>
          <w:rFonts w:ascii="Arial" w:hAnsi="Arial" w:cs="Arial"/>
          <w:sz w:val="20"/>
          <w:szCs w:val="20"/>
          <w:lang w:val="es-CO"/>
        </w:rPr>
        <w:t xml:space="preserve">flujos futuros de efectivo </w:t>
      </w:r>
      <w:r w:rsidR="00C47CCA" w:rsidRPr="0BC7F512">
        <w:rPr>
          <w:rFonts w:ascii="Arial" w:hAnsi="Arial" w:cs="Arial"/>
          <w:sz w:val="20"/>
          <w:szCs w:val="20"/>
          <w:lang w:val="es-CO"/>
        </w:rPr>
        <w:t>debe contemplar una prima de iliquidez</w:t>
      </w:r>
      <w:r w:rsidR="00165FB9" w:rsidRPr="0BC7F512">
        <w:rPr>
          <w:rFonts w:ascii="Arial" w:hAnsi="Arial" w:cs="Arial"/>
          <w:sz w:val="20"/>
          <w:szCs w:val="20"/>
          <w:lang w:val="es-CO"/>
        </w:rPr>
        <w:t xml:space="preserve">, la cual debe ser calculada internamente por cada entidad </w:t>
      </w:r>
      <w:r w:rsidR="00C47CCA" w:rsidRPr="0BC7F512">
        <w:rPr>
          <w:rFonts w:ascii="Arial" w:hAnsi="Arial" w:cs="Arial"/>
          <w:sz w:val="20"/>
          <w:szCs w:val="20"/>
          <w:lang w:val="es-CO"/>
        </w:rPr>
        <w:t>de conformidad con</w:t>
      </w:r>
      <w:r w:rsidR="00B67219">
        <w:rPr>
          <w:rFonts w:ascii="Arial" w:hAnsi="Arial" w:cs="Arial"/>
          <w:sz w:val="20"/>
          <w:szCs w:val="20"/>
          <w:lang w:val="es-CO"/>
        </w:rPr>
        <w:t xml:space="preserve"> las instrucciones</w:t>
      </w:r>
      <w:r w:rsidR="00C47CCA" w:rsidRPr="0BC7F512">
        <w:rPr>
          <w:rFonts w:ascii="Arial" w:hAnsi="Arial" w:cs="Arial"/>
          <w:sz w:val="20"/>
          <w:szCs w:val="20"/>
          <w:lang w:val="es-CO"/>
        </w:rPr>
        <w:t xml:space="preserve"> </w:t>
      </w:r>
      <w:r w:rsidR="007E2C87">
        <w:rPr>
          <w:rFonts w:ascii="Arial" w:hAnsi="Arial" w:cs="Arial"/>
          <w:sz w:val="20"/>
          <w:szCs w:val="20"/>
          <w:lang w:val="es-CO"/>
        </w:rPr>
        <w:t>previstas en el</w:t>
      </w:r>
      <w:r w:rsidR="00345345">
        <w:rPr>
          <w:rFonts w:ascii="Arial" w:hAnsi="Arial" w:cs="Arial"/>
          <w:sz w:val="20"/>
          <w:szCs w:val="20"/>
          <w:lang w:val="es-CO"/>
        </w:rPr>
        <w:t xml:space="preserve"> </w:t>
      </w:r>
      <w:r w:rsidR="00A165B5" w:rsidRPr="0BC7F512">
        <w:rPr>
          <w:rFonts w:ascii="Arial" w:hAnsi="Arial" w:cs="Arial"/>
          <w:sz w:val="20"/>
          <w:szCs w:val="20"/>
          <w:lang w:val="es-CO"/>
        </w:rPr>
        <w:t>anexo 6 del presente capítulo</w:t>
      </w:r>
      <w:r w:rsidR="00C370EA">
        <w:rPr>
          <w:rFonts w:ascii="Arial" w:hAnsi="Arial" w:cs="Arial"/>
          <w:sz w:val="20"/>
          <w:szCs w:val="20"/>
          <w:lang w:val="es-CO"/>
        </w:rPr>
        <w:t>.</w:t>
      </w:r>
    </w:p>
    <w:p w14:paraId="17D36335" w14:textId="77777777" w:rsidR="00256D06" w:rsidRDefault="00256D06" w:rsidP="00C47CCA">
      <w:pPr>
        <w:jc w:val="both"/>
        <w:rPr>
          <w:rFonts w:ascii="Arial" w:hAnsi="Arial" w:cs="Arial"/>
          <w:bCs/>
          <w:sz w:val="20"/>
          <w:szCs w:val="20"/>
          <w:lang w:val="es-CO"/>
        </w:rPr>
      </w:pPr>
    </w:p>
    <w:p w14:paraId="124500DC" w14:textId="3D8EEB2C" w:rsidR="003222B9" w:rsidRPr="0027135C" w:rsidRDefault="00031022" w:rsidP="00666496">
      <w:pPr>
        <w:jc w:val="both"/>
        <w:rPr>
          <w:rFonts w:ascii="Arial" w:hAnsi="Arial" w:cs="Arial"/>
          <w:bCs/>
          <w:sz w:val="20"/>
          <w:szCs w:val="20"/>
          <w:lang w:val="es-CO"/>
        </w:rPr>
      </w:pPr>
      <w:r>
        <w:rPr>
          <w:rFonts w:ascii="Arial" w:hAnsi="Arial" w:cs="Arial"/>
          <w:bCs/>
          <w:sz w:val="20"/>
          <w:szCs w:val="20"/>
          <w:lang w:val="es-CO"/>
        </w:rPr>
        <w:t>Las</w:t>
      </w:r>
      <w:r w:rsidR="00C47CCA" w:rsidRPr="00F4745F">
        <w:rPr>
          <w:rFonts w:ascii="Arial" w:hAnsi="Arial" w:cs="Arial"/>
          <w:bCs/>
          <w:sz w:val="20"/>
          <w:szCs w:val="20"/>
          <w:lang w:val="es-CO"/>
        </w:rPr>
        <w:t xml:space="preserve"> entidades podrán utilizar </w:t>
      </w:r>
      <w:r w:rsidR="003F54EF">
        <w:rPr>
          <w:rFonts w:ascii="Arial" w:hAnsi="Arial" w:cs="Arial"/>
          <w:bCs/>
          <w:sz w:val="20"/>
          <w:szCs w:val="20"/>
          <w:lang w:val="es-CO"/>
        </w:rPr>
        <w:t xml:space="preserve">una metodología propia para el cálculo </w:t>
      </w:r>
      <w:r w:rsidR="00B36D56">
        <w:rPr>
          <w:rFonts w:ascii="Arial" w:hAnsi="Arial" w:cs="Arial"/>
          <w:bCs/>
          <w:sz w:val="20"/>
          <w:szCs w:val="20"/>
          <w:lang w:val="es-CO"/>
        </w:rPr>
        <w:t>de la prima de iliquidez,</w:t>
      </w:r>
      <w:r w:rsidR="00BB33FF">
        <w:rPr>
          <w:rFonts w:ascii="Arial" w:hAnsi="Arial" w:cs="Arial"/>
          <w:bCs/>
          <w:sz w:val="20"/>
          <w:szCs w:val="20"/>
          <w:lang w:val="es-CO"/>
        </w:rPr>
        <w:t xml:space="preserve"> </w:t>
      </w:r>
      <w:r w:rsidR="00F53F8A">
        <w:rPr>
          <w:rFonts w:ascii="Arial" w:hAnsi="Arial" w:cs="Arial"/>
          <w:bCs/>
          <w:sz w:val="20"/>
          <w:szCs w:val="20"/>
          <w:lang w:val="es-CO"/>
        </w:rPr>
        <w:t xml:space="preserve">siempre que </w:t>
      </w:r>
      <w:r w:rsidR="00BE23DA">
        <w:rPr>
          <w:rFonts w:ascii="Arial" w:hAnsi="Arial" w:cs="Arial"/>
          <w:bCs/>
          <w:sz w:val="20"/>
          <w:szCs w:val="20"/>
          <w:lang w:val="es-CO"/>
        </w:rPr>
        <w:t>cuente</w:t>
      </w:r>
      <w:r w:rsidR="00FD65D4">
        <w:rPr>
          <w:rFonts w:ascii="Arial" w:hAnsi="Arial" w:cs="Arial"/>
          <w:bCs/>
          <w:sz w:val="20"/>
          <w:szCs w:val="20"/>
          <w:lang w:val="es-CO"/>
        </w:rPr>
        <w:t>n</w:t>
      </w:r>
      <w:r w:rsidR="00BE23DA">
        <w:rPr>
          <w:rFonts w:ascii="Arial" w:hAnsi="Arial" w:cs="Arial"/>
          <w:bCs/>
          <w:sz w:val="20"/>
          <w:szCs w:val="20"/>
          <w:lang w:val="es-CO"/>
        </w:rPr>
        <w:t xml:space="preserve"> con sufi</w:t>
      </w:r>
      <w:r w:rsidR="00F15C09">
        <w:rPr>
          <w:rFonts w:ascii="Arial" w:hAnsi="Arial" w:cs="Arial"/>
          <w:bCs/>
          <w:sz w:val="20"/>
          <w:szCs w:val="20"/>
          <w:lang w:val="es-CO"/>
        </w:rPr>
        <w:t>ciente</w:t>
      </w:r>
      <w:r w:rsidR="004E7BD4">
        <w:rPr>
          <w:rFonts w:ascii="Arial" w:hAnsi="Arial" w:cs="Arial"/>
          <w:bCs/>
          <w:sz w:val="20"/>
          <w:szCs w:val="20"/>
          <w:lang w:val="es-CO"/>
        </w:rPr>
        <w:t>s</w:t>
      </w:r>
      <w:r w:rsidR="00F15C09">
        <w:rPr>
          <w:rFonts w:ascii="Arial" w:hAnsi="Arial" w:cs="Arial"/>
          <w:bCs/>
          <w:sz w:val="20"/>
          <w:szCs w:val="20"/>
          <w:lang w:val="es-CO"/>
        </w:rPr>
        <w:t xml:space="preserve"> fundamentos técnicos</w:t>
      </w:r>
      <w:r w:rsidR="00D60CE9">
        <w:rPr>
          <w:rFonts w:ascii="Arial" w:hAnsi="Arial" w:cs="Arial"/>
          <w:bCs/>
          <w:sz w:val="20"/>
          <w:szCs w:val="20"/>
          <w:lang w:val="es-CO"/>
        </w:rPr>
        <w:t xml:space="preserve"> y</w:t>
      </w:r>
      <w:r w:rsidR="00F15C09">
        <w:rPr>
          <w:rFonts w:ascii="Arial" w:hAnsi="Arial" w:cs="Arial"/>
          <w:bCs/>
          <w:sz w:val="20"/>
          <w:szCs w:val="20"/>
          <w:lang w:val="es-CO"/>
        </w:rPr>
        <w:t xml:space="preserve"> estadísticos</w:t>
      </w:r>
      <w:r w:rsidR="00D60CE9">
        <w:rPr>
          <w:rFonts w:ascii="Arial" w:hAnsi="Arial" w:cs="Arial"/>
          <w:bCs/>
          <w:sz w:val="20"/>
          <w:szCs w:val="20"/>
          <w:lang w:val="es-CO"/>
        </w:rPr>
        <w:t xml:space="preserve">, </w:t>
      </w:r>
      <w:r w:rsidR="004E7BD4">
        <w:rPr>
          <w:rFonts w:ascii="Arial" w:hAnsi="Arial" w:cs="Arial"/>
          <w:bCs/>
          <w:sz w:val="20"/>
          <w:szCs w:val="20"/>
          <w:lang w:val="es-CO"/>
        </w:rPr>
        <w:t>y con amplio desarrollo tanto teórico como prácti</w:t>
      </w:r>
      <w:r w:rsidR="008729B5">
        <w:rPr>
          <w:rFonts w:ascii="Arial" w:hAnsi="Arial" w:cs="Arial"/>
          <w:bCs/>
          <w:sz w:val="20"/>
          <w:szCs w:val="20"/>
          <w:lang w:val="es-CO"/>
        </w:rPr>
        <w:t xml:space="preserve">co. </w:t>
      </w:r>
      <w:r w:rsidR="00F048DE">
        <w:rPr>
          <w:rFonts w:ascii="Arial" w:hAnsi="Arial" w:cs="Arial"/>
          <w:bCs/>
          <w:sz w:val="20"/>
          <w:szCs w:val="20"/>
          <w:lang w:val="es-CO"/>
        </w:rPr>
        <w:t xml:space="preserve">Esta metodología interna </w:t>
      </w:r>
      <w:r w:rsidR="00DC20D1">
        <w:rPr>
          <w:rFonts w:ascii="Arial" w:hAnsi="Arial" w:cs="Arial"/>
          <w:bCs/>
          <w:sz w:val="20"/>
          <w:szCs w:val="20"/>
          <w:lang w:val="es-CO"/>
        </w:rPr>
        <w:t xml:space="preserve">se </w:t>
      </w:r>
      <w:r w:rsidR="00F048DE">
        <w:rPr>
          <w:rFonts w:ascii="Arial" w:hAnsi="Arial" w:cs="Arial"/>
          <w:bCs/>
          <w:sz w:val="20"/>
          <w:szCs w:val="20"/>
          <w:lang w:val="es-CO"/>
        </w:rPr>
        <w:t xml:space="preserve">debe evaluar y actualizar </w:t>
      </w:r>
      <w:r w:rsidR="00E729F5">
        <w:rPr>
          <w:rFonts w:ascii="Arial" w:hAnsi="Arial" w:cs="Arial"/>
          <w:bCs/>
          <w:sz w:val="20"/>
          <w:szCs w:val="20"/>
          <w:lang w:val="es-CO"/>
        </w:rPr>
        <w:t>periódicamente</w:t>
      </w:r>
      <w:r w:rsidR="00F048DE">
        <w:rPr>
          <w:rFonts w:ascii="Arial" w:hAnsi="Arial" w:cs="Arial"/>
          <w:bCs/>
          <w:sz w:val="20"/>
          <w:szCs w:val="20"/>
          <w:lang w:val="es-CO"/>
        </w:rPr>
        <w:t xml:space="preserve">. </w:t>
      </w:r>
      <w:r w:rsidR="008729B5">
        <w:rPr>
          <w:rFonts w:ascii="Arial" w:hAnsi="Arial" w:cs="Arial"/>
          <w:bCs/>
          <w:sz w:val="20"/>
          <w:szCs w:val="20"/>
          <w:lang w:val="es-CO"/>
        </w:rPr>
        <w:t>Para estos efectos,</w:t>
      </w:r>
      <w:r w:rsidR="00C47CCA">
        <w:rPr>
          <w:rFonts w:ascii="Arial" w:hAnsi="Arial" w:cs="Arial"/>
          <w:bCs/>
          <w:sz w:val="20"/>
          <w:szCs w:val="20"/>
          <w:lang w:val="es-CO"/>
        </w:rPr>
        <w:t xml:space="preserve"> </w:t>
      </w:r>
      <w:r w:rsidR="00F048DE">
        <w:rPr>
          <w:rFonts w:ascii="Arial" w:hAnsi="Arial" w:cs="Arial"/>
          <w:bCs/>
          <w:sz w:val="20"/>
          <w:szCs w:val="20"/>
          <w:lang w:val="es-CO"/>
        </w:rPr>
        <w:t>de forma previa</w:t>
      </w:r>
      <w:r w:rsidR="00C47CCA">
        <w:rPr>
          <w:rFonts w:ascii="Arial" w:hAnsi="Arial" w:cs="Arial"/>
          <w:bCs/>
          <w:sz w:val="20"/>
          <w:szCs w:val="20"/>
          <w:lang w:val="es-CO"/>
        </w:rPr>
        <w:t xml:space="preserve"> a la implementación de la</w:t>
      </w:r>
      <w:r w:rsidR="006265DF">
        <w:rPr>
          <w:rFonts w:ascii="Arial" w:hAnsi="Arial" w:cs="Arial"/>
          <w:bCs/>
          <w:sz w:val="20"/>
          <w:szCs w:val="20"/>
          <w:lang w:val="es-CO"/>
        </w:rPr>
        <w:t xml:space="preserve"> metodología</w:t>
      </w:r>
      <w:r w:rsidR="00C47CCA">
        <w:rPr>
          <w:rFonts w:ascii="Arial" w:hAnsi="Arial" w:cs="Arial"/>
          <w:bCs/>
          <w:sz w:val="20"/>
          <w:szCs w:val="20"/>
          <w:lang w:val="es-CO"/>
        </w:rPr>
        <w:t xml:space="preserve">, las entidades deben remitir a la SFC una solicitud de no objeción, </w:t>
      </w:r>
      <w:r w:rsidR="00C2167C">
        <w:rPr>
          <w:rFonts w:ascii="Arial" w:hAnsi="Arial" w:cs="Arial"/>
          <w:bCs/>
          <w:sz w:val="20"/>
          <w:szCs w:val="20"/>
          <w:lang w:val="es-CO"/>
        </w:rPr>
        <w:t>que incluya</w:t>
      </w:r>
      <w:r w:rsidR="00C47CCA">
        <w:rPr>
          <w:rFonts w:ascii="Arial" w:hAnsi="Arial" w:cs="Arial"/>
          <w:bCs/>
          <w:sz w:val="20"/>
          <w:szCs w:val="20"/>
          <w:lang w:val="es-CO"/>
        </w:rPr>
        <w:t xml:space="preserve"> como mínimo</w:t>
      </w:r>
      <w:r w:rsidR="00C2167C">
        <w:rPr>
          <w:rFonts w:ascii="Arial" w:hAnsi="Arial" w:cs="Arial"/>
          <w:bCs/>
          <w:sz w:val="20"/>
          <w:szCs w:val="20"/>
          <w:lang w:val="es-CO"/>
        </w:rPr>
        <w:t xml:space="preserve"> lo siguiente</w:t>
      </w:r>
      <w:r w:rsidR="00C47CCA">
        <w:rPr>
          <w:rFonts w:ascii="Arial" w:hAnsi="Arial" w:cs="Arial"/>
          <w:bCs/>
          <w:sz w:val="20"/>
          <w:szCs w:val="20"/>
          <w:lang w:val="es-CO"/>
        </w:rPr>
        <w:t xml:space="preserve">: </w:t>
      </w:r>
      <w:r w:rsidR="004E6071">
        <w:rPr>
          <w:rFonts w:ascii="Arial" w:hAnsi="Arial" w:cs="Arial"/>
          <w:bCs/>
          <w:sz w:val="20"/>
          <w:szCs w:val="20"/>
          <w:lang w:val="es-CO"/>
        </w:rPr>
        <w:t xml:space="preserve">(i) explicación detallada de la metodología </w:t>
      </w:r>
      <w:r w:rsidR="00A66468">
        <w:rPr>
          <w:rFonts w:ascii="Arial" w:hAnsi="Arial" w:cs="Arial"/>
          <w:bCs/>
          <w:sz w:val="20"/>
          <w:szCs w:val="20"/>
          <w:lang w:val="es-CO"/>
        </w:rPr>
        <w:t>y de las variables utilizadas en</w:t>
      </w:r>
      <w:r w:rsidR="004735BE">
        <w:rPr>
          <w:rFonts w:ascii="Arial" w:hAnsi="Arial" w:cs="Arial"/>
          <w:bCs/>
          <w:sz w:val="20"/>
          <w:szCs w:val="20"/>
          <w:lang w:val="es-CO"/>
        </w:rPr>
        <w:t xml:space="preserve"> el cálculo</w:t>
      </w:r>
      <w:r w:rsidR="004E6071">
        <w:rPr>
          <w:rFonts w:ascii="Arial" w:hAnsi="Arial" w:cs="Arial"/>
          <w:bCs/>
          <w:sz w:val="20"/>
          <w:szCs w:val="20"/>
          <w:lang w:val="es-CO"/>
        </w:rPr>
        <w:t>;</w:t>
      </w:r>
      <w:r w:rsidR="00B43B13">
        <w:rPr>
          <w:rFonts w:ascii="Arial" w:hAnsi="Arial" w:cs="Arial"/>
          <w:bCs/>
          <w:sz w:val="20"/>
          <w:szCs w:val="20"/>
          <w:lang w:val="es-CO"/>
        </w:rPr>
        <w:t xml:space="preserve"> (</w:t>
      </w:r>
      <w:proofErr w:type="spellStart"/>
      <w:r w:rsidR="00B43B13">
        <w:rPr>
          <w:rFonts w:ascii="Arial" w:hAnsi="Arial" w:cs="Arial"/>
          <w:bCs/>
          <w:sz w:val="20"/>
          <w:szCs w:val="20"/>
          <w:lang w:val="es-CO"/>
        </w:rPr>
        <w:t>ii</w:t>
      </w:r>
      <w:proofErr w:type="spellEnd"/>
      <w:r w:rsidR="00B43B13">
        <w:rPr>
          <w:rFonts w:ascii="Arial" w:hAnsi="Arial" w:cs="Arial"/>
          <w:bCs/>
          <w:sz w:val="20"/>
          <w:szCs w:val="20"/>
          <w:lang w:val="es-CO"/>
        </w:rPr>
        <w:t xml:space="preserve">) </w:t>
      </w:r>
      <w:r w:rsidR="00B43B13" w:rsidRPr="0068238D">
        <w:rPr>
          <w:rFonts w:ascii="Arial" w:hAnsi="Arial" w:cs="Arial"/>
          <w:bCs/>
          <w:sz w:val="20"/>
          <w:szCs w:val="20"/>
          <w:lang w:val="es-CO"/>
        </w:rPr>
        <w:t xml:space="preserve">motivación en la cual se presenten los argumentos técnicos y financieros </w:t>
      </w:r>
      <w:r w:rsidR="00B43B13">
        <w:rPr>
          <w:rFonts w:ascii="Arial" w:hAnsi="Arial" w:cs="Arial"/>
          <w:bCs/>
          <w:sz w:val="20"/>
          <w:szCs w:val="20"/>
          <w:lang w:val="es-CO"/>
        </w:rPr>
        <w:t>de la solicitud</w:t>
      </w:r>
      <w:r w:rsidR="00BF3F56">
        <w:rPr>
          <w:rFonts w:ascii="Arial" w:hAnsi="Arial" w:cs="Arial"/>
          <w:bCs/>
          <w:sz w:val="20"/>
          <w:szCs w:val="20"/>
          <w:lang w:val="es-CO"/>
        </w:rPr>
        <w:t xml:space="preserve"> y</w:t>
      </w:r>
      <w:r w:rsidR="00B43B13">
        <w:rPr>
          <w:rFonts w:ascii="Arial" w:hAnsi="Arial" w:cs="Arial"/>
          <w:bCs/>
          <w:sz w:val="20"/>
          <w:szCs w:val="20"/>
          <w:lang w:val="es-CO"/>
        </w:rPr>
        <w:t>,</w:t>
      </w:r>
      <w:r w:rsidR="004E6071">
        <w:rPr>
          <w:rFonts w:ascii="Arial" w:hAnsi="Arial" w:cs="Arial"/>
          <w:bCs/>
          <w:sz w:val="20"/>
          <w:szCs w:val="20"/>
          <w:lang w:val="es-CO"/>
        </w:rPr>
        <w:t xml:space="preserve"> (</w:t>
      </w:r>
      <w:proofErr w:type="spellStart"/>
      <w:r w:rsidR="004E6071">
        <w:rPr>
          <w:rFonts w:ascii="Arial" w:hAnsi="Arial" w:cs="Arial"/>
          <w:bCs/>
          <w:sz w:val="20"/>
          <w:szCs w:val="20"/>
          <w:lang w:val="es-CO"/>
        </w:rPr>
        <w:t>i</w:t>
      </w:r>
      <w:r w:rsidR="005C7829">
        <w:rPr>
          <w:rFonts w:ascii="Arial" w:hAnsi="Arial" w:cs="Arial"/>
          <w:bCs/>
          <w:sz w:val="20"/>
          <w:szCs w:val="20"/>
          <w:lang w:val="es-CO"/>
        </w:rPr>
        <w:t>ii</w:t>
      </w:r>
      <w:proofErr w:type="spellEnd"/>
      <w:r w:rsidR="004E6071">
        <w:rPr>
          <w:rFonts w:ascii="Arial" w:hAnsi="Arial" w:cs="Arial"/>
          <w:bCs/>
          <w:sz w:val="20"/>
          <w:szCs w:val="20"/>
          <w:lang w:val="es-CO"/>
        </w:rPr>
        <w:t xml:space="preserve">) </w:t>
      </w:r>
      <w:r w:rsidR="00B95EDC">
        <w:rPr>
          <w:rFonts w:ascii="Arial" w:hAnsi="Arial" w:cs="Arial"/>
          <w:bCs/>
          <w:sz w:val="20"/>
          <w:szCs w:val="20"/>
          <w:lang w:val="es-CO"/>
        </w:rPr>
        <w:t xml:space="preserve">ejercicio </w:t>
      </w:r>
      <w:r w:rsidR="004E6071">
        <w:rPr>
          <w:rFonts w:ascii="Arial" w:hAnsi="Arial" w:cs="Arial"/>
          <w:bCs/>
          <w:sz w:val="20"/>
          <w:szCs w:val="20"/>
          <w:lang w:val="es-CO"/>
        </w:rPr>
        <w:t>compara</w:t>
      </w:r>
      <w:r w:rsidR="00B95EDC">
        <w:rPr>
          <w:rFonts w:ascii="Arial" w:hAnsi="Arial" w:cs="Arial"/>
          <w:bCs/>
          <w:sz w:val="20"/>
          <w:szCs w:val="20"/>
          <w:lang w:val="es-CO"/>
        </w:rPr>
        <w:t xml:space="preserve">tivo </w:t>
      </w:r>
      <w:r w:rsidR="004E6071">
        <w:rPr>
          <w:rFonts w:ascii="Arial" w:hAnsi="Arial" w:cs="Arial"/>
          <w:bCs/>
          <w:sz w:val="20"/>
          <w:szCs w:val="20"/>
          <w:lang w:val="es-CO"/>
        </w:rPr>
        <w:t xml:space="preserve">de las proyecciones </w:t>
      </w:r>
      <w:r w:rsidR="004018F2">
        <w:rPr>
          <w:rFonts w:ascii="Arial" w:hAnsi="Arial" w:cs="Arial"/>
          <w:bCs/>
          <w:sz w:val="20"/>
          <w:szCs w:val="20"/>
          <w:lang w:val="es-CO"/>
        </w:rPr>
        <w:t>calculada</w:t>
      </w:r>
      <w:r w:rsidR="00C96398">
        <w:rPr>
          <w:rFonts w:ascii="Arial" w:hAnsi="Arial" w:cs="Arial"/>
          <w:bCs/>
          <w:sz w:val="20"/>
          <w:szCs w:val="20"/>
          <w:lang w:val="es-CO"/>
        </w:rPr>
        <w:t>s</w:t>
      </w:r>
      <w:r w:rsidR="004018F2">
        <w:rPr>
          <w:rFonts w:ascii="Arial" w:hAnsi="Arial" w:cs="Arial"/>
          <w:bCs/>
          <w:sz w:val="20"/>
          <w:szCs w:val="20"/>
          <w:lang w:val="es-CO"/>
        </w:rPr>
        <w:t xml:space="preserve"> por la entidad y </w:t>
      </w:r>
      <w:r w:rsidR="00C96398">
        <w:rPr>
          <w:rFonts w:ascii="Arial" w:hAnsi="Arial" w:cs="Arial"/>
          <w:bCs/>
          <w:sz w:val="20"/>
          <w:szCs w:val="20"/>
          <w:lang w:val="es-CO"/>
        </w:rPr>
        <w:t xml:space="preserve">de </w:t>
      </w:r>
      <w:r w:rsidR="004018F2">
        <w:rPr>
          <w:rFonts w:ascii="Arial" w:hAnsi="Arial" w:cs="Arial"/>
          <w:bCs/>
          <w:sz w:val="20"/>
          <w:szCs w:val="20"/>
          <w:lang w:val="es-CO"/>
        </w:rPr>
        <w:t>la prima de iliquidez</w:t>
      </w:r>
      <w:r w:rsidR="00633BA3">
        <w:rPr>
          <w:rFonts w:ascii="Arial" w:hAnsi="Arial" w:cs="Arial"/>
          <w:bCs/>
          <w:sz w:val="20"/>
          <w:szCs w:val="20"/>
          <w:lang w:val="es-CO"/>
        </w:rPr>
        <w:t xml:space="preserve"> calculada bajo la metodología defin</w:t>
      </w:r>
      <w:r w:rsidR="00C96398">
        <w:rPr>
          <w:rFonts w:ascii="Arial" w:hAnsi="Arial" w:cs="Arial"/>
          <w:bCs/>
          <w:sz w:val="20"/>
          <w:szCs w:val="20"/>
          <w:lang w:val="es-CO"/>
        </w:rPr>
        <w:t>ida</w:t>
      </w:r>
      <w:r w:rsidR="00633BA3">
        <w:rPr>
          <w:rFonts w:ascii="Arial" w:hAnsi="Arial" w:cs="Arial"/>
          <w:bCs/>
          <w:sz w:val="20"/>
          <w:szCs w:val="20"/>
          <w:lang w:val="es-CO"/>
        </w:rPr>
        <w:t xml:space="preserve"> por la SFC</w:t>
      </w:r>
      <w:r w:rsidR="00162F64">
        <w:rPr>
          <w:rFonts w:ascii="Arial" w:hAnsi="Arial" w:cs="Arial"/>
          <w:bCs/>
          <w:sz w:val="20"/>
          <w:szCs w:val="20"/>
          <w:lang w:val="es-CO"/>
        </w:rPr>
        <w:t>.</w:t>
      </w:r>
      <w:r w:rsidR="00351E00">
        <w:rPr>
          <w:rFonts w:ascii="Arial" w:hAnsi="Arial" w:cs="Arial"/>
          <w:bCs/>
          <w:sz w:val="20"/>
          <w:szCs w:val="20"/>
          <w:lang w:val="es-CO"/>
        </w:rPr>
        <w:t xml:space="preserve"> </w:t>
      </w:r>
    </w:p>
    <w:p w14:paraId="07E9DC2F" w14:textId="77777777" w:rsidR="001F1025" w:rsidRPr="001F1025" w:rsidRDefault="001F1025" w:rsidP="00666496">
      <w:pPr>
        <w:jc w:val="both"/>
        <w:rPr>
          <w:rFonts w:ascii="Arial" w:hAnsi="Arial" w:cs="Arial"/>
          <w:bCs/>
          <w:sz w:val="20"/>
          <w:szCs w:val="20"/>
          <w:lang w:val="es-CO"/>
        </w:rPr>
      </w:pPr>
    </w:p>
    <w:p w14:paraId="51ED2F92" w14:textId="7AEF7730" w:rsidR="00C34234" w:rsidRPr="00C34234" w:rsidRDefault="00B57AC3" w:rsidP="00BE2CFC">
      <w:pPr>
        <w:pStyle w:val="Prrafodelista"/>
        <w:numPr>
          <w:ilvl w:val="1"/>
          <w:numId w:val="1"/>
        </w:numPr>
        <w:ind w:left="851" w:hanging="851"/>
        <w:jc w:val="both"/>
        <w:rPr>
          <w:rFonts w:ascii="Arial" w:hAnsi="Arial" w:cs="Arial"/>
          <w:b/>
          <w:sz w:val="20"/>
          <w:szCs w:val="20"/>
          <w:lang w:val="es-CO"/>
        </w:rPr>
      </w:pPr>
      <w:r w:rsidRPr="00B57AC3">
        <w:rPr>
          <w:rFonts w:ascii="Arial" w:hAnsi="Arial" w:cs="Arial"/>
          <w:b/>
          <w:sz w:val="20"/>
          <w:szCs w:val="20"/>
          <w:lang w:val="es-CO"/>
        </w:rPr>
        <w:t>Ajuste por riesgo no financiero</w:t>
      </w:r>
    </w:p>
    <w:p w14:paraId="456A93E2" w14:textId="77777777" w:rsidR="00CC305A" w:rsidRDefault="00CC305A" w:rsidP="00666496">
      <w:pPr>
        <w:jc w:val="both"/>
        <w:rPr>
          <w:rFonts w:ascii="Arial" w:hAnsi="Arial" w:cs="Arial"/>
          <w:bCs/>
          <w:sz w:val="20"/>
          <w:szCs w:val="20"/>
          <w:lang w:val="es-CO"/>
        </w:rPr>
      </w:pPr>
    </w:p>
    <w:p w14:paraId="68059DDA" w14:textId="4FEEABCA" w:rsidR="0022389C" w:rsidRDefault="0091640C" w:rsidP="00666496">
      <w:pPr>
        <w:jc w:val="both"/>
        <w:rPr>
          <w:rFonts w:ascii="Arial" w:hAnsi="Arial" w:cs="Arial"/>
          <w:bCs/>
          <w:sz w:val="20"/>
          <w:szCs w:val="20"/>
          <w:lang w:val="es-CO"/>
        </w:rPr>
      </w:pPr>
      <w:r>
        <w:rPr>
          <w:rFonts w:ascii="Arial" w:hAnsi="Arial" w:cs="Arial"/>
          <w:bCs/>
          <w:sz w:val="20"/>
          <w:szCs w:val="20"/>
          <w:lang w:val="es-CO"/>
        </w:rPr>
        <w:t>A</w:t>
      </w:r>
      <w:r w:rsidR="00E57051">
        <w:rPr>
          <w:rFonts w:ascii="Arial" w:hAnsi="Arial" w:cs="Arial"/>
          <w:bCs/>
          <w:sz w:val="20"/>
          <w:szCs w:val="20"/>
          <w:lang w:val="es-CO"/>
        </w:rPr>
        <w:t>demás de</w:t>
      </w:r>
      <w:r>
        <w:rPr>
          <w:rFonts w:ascii="Arial" w:hAnsi="Arial" w:cs="Arial"/>
          <w:bCs/>
          <w:sz w:val="20"/>
          <w:szCs w:val="20"/>
          <w:lang w:val="es-CO"/>
        </w:rPr>
        <w:t xml:space="preserve"> establecer</w:t>
      </w:r>
      <w:r w:rsidR="005519A3">
        <w:rPr>
          <w:rFonts w:ascii="Arial" w:hAnsi="Arial" w:cs="Arial"/>
          <w:bCs/>
          <w:sz w:val="20"/>
          <w:szCs w:val="20"/>
          <w:lang w:val="es-CO"/>
        </w:rPr>
        <w:t xml:space="preserve"> el valor presente de</w:t>
      </w:r>
      <w:r w:rsidR="00E57051">
        <w:rPr>
          <w:rFonts w:ascii="Arial" w:hAnsi="Arial" w:cs="Arial"/>
          <w:bCs/>
          <w:sz w:val="20"/>
          <w:szCs w:val="20"/>
          <w:lang w:val="es-CO"/>
        </w:rPr>
        <w:t xml:space="preserve"> los </w:t>
      </w:r>
      <w:r w:rsidR="00332536">
        <w:rPr>
          <w:rFonts w:ascii="Arial" w:hAnsi="Arial" w:cs="Arial"/>
          <w:bCs/>
          <w:sz w:val="20"/>
          <w:szCs w:val="20"/>
          <w:lang w:val="es-CO"/>
        </w:rPr>
        <w:t>flujos futuros de efectivo</w:t>
      </w:r>
      <w:r w:rsidR="00E57051">
        <w:rPr>
          <w:rFonts w:ascii="Arial" w:hAnsi="Arial" w:cs="Arial"/>
          <w:bCs/>
          <w:sz w:val="20"/>
          <w:szCs w:val="20"/>
          <w:lang w:val="es-CO"/>
        </w:rPr>
        <w:t xml:space="preserve">, el cálculo de la mejor estimación de las obligaciones debe </w:t>
      </w:r>
      <w:r w:rsidR="005519A3">
        <w:rPr>
          <w:rFonts w:ascii="Arial" w:hAnsi="Arial" w:cs="Arial"/>
          <w:bCs/>
          <w:sz w:val="20"/>
          <w:szCs w:val="20"/>
          <w:lang w:val="es-CO"/>
        </w:rPr>
        <w:t>inc</w:t>
      </w:r>
      <w:r w:rsidR="005811AF">
        <w:rPr>
          <w:rFonts w:ascii="Arial" w:hAnsi="Arial" w:cs="Arial"/>
          <w:bCs/>
          <w:sz w:val="20"/>
          <w:szCs w:val="20"/>
          <w:lang w:val="es-CO"/>
        </w:rPr>
        <w:t>orporar</w:t>
      </w:r>
      <w:r w:rsidR="00E57051">
        <w:rPr>
          <w:rFonts w:ascii="Arial" w:hAnsi="Arial" w:cs="Arial"/>
          <w:bCs/>
          <w:sz w:val="20"/>
          <w:szCs w:val="20"/>
          <w:lang w:val="es-CO"/>
        </w:rPr>
        <w:t xml:space="preserve"> un ajuste por riesgo no financiero</w:t>
      </w:r>
      <w:r w:rsidR="00D85D96">
        <w:rPr>
          <w:rFonts w:ascii="Arial" w:hAnsi="Arial" w:cs="Arial"/>
          <w:bCs/>
          <w:sz w:val="20"/>
          <w:szCs w:val="20"/>
          <w:lang w:val="es-CO"/>
        </w:rPr>
        <w:t xml:space="preserve"> para todas las carteras de contratos de seguro y/o reaseguro</w:t>
      </w:r>
      <w:r w:rsidR="00E57051">
        <w:rPr>
          <w:rFonts w:ascii="Arial" w:hAnsi="Arial" w:cs="Arial"/>
          <w:bCs/>
          <w:sz w:val="20"/>
          <w:szCs w:val="20"/>
          <w:lang w:val="es-CO"/>
        </w:rPr>
        <w:t>,</w:t>
      </w:r>
      <w:r w:rsidR="004D6B81">
        <w:rPr>
          <w:rFonts w:ascii="Arial" w:hAnsi="Arial" w:cs="Arial"/>
          <w:bCs/>
          <w:sz w:val="20"/>
          <w:szCs w:val="20"/>
          <w:lang w:val="es-CO"/>
        </w:rPr>
        <w:t xml:space="preserve"> y su estimación debe realizarse a nivel de cartera,</w:t>
      </w:r>
      <w:r w:rsidR="005811AF">
        <w:rPr>
          <w:rFonts w:ascii="Arial" w:hAnsi="Arial" w:cs="Arial"/>
          <w:bCs/>
          <w:sz w:val="20"/>
          <w:szCs w:val="20"/>
          <w:lang w:val="es-CO"/>
        </w:rPr>
        <w:t xml:space="preserve"> de conformidad con las </w:t>
      </w:r>
      <w:r w:rsidR="00E50C63">
        <w:rPr>
          <w:rFonts w:ascii="Arial" w:hAnsi="Arial" w:cs="Arial"/>
          <w:bCs/>
          <w:sz w:val="20"/>
          <w:szCs w:val="20"/>
          <w:lang w:val="es-CO"/>
        </w:rPr>
        <w:t>reglas establecidas en el artículo 2.31.4.</w:t>
      </w:r>
      <w:r w:rsidR="00CE7A04">
        <w:rPr>
          <w:rFonts w:ascii="Arial" w:hAnsi="Arial" w:cs="Arial"/>
          <w:bCs/>
          <w:sz w:val="20"/>
          <w:szCs w:val="20"/>
          <w:lang w:val="es-CO"/>
        </w:rPr>
        <w:t>1</w:t>
      </w:r>
      <w:r w:rsidR="00E50C63">
        <w:rPr>
          <w:rFonts w:ascii="Arial" w:hAnsi="Arial" w:cs="Arial"/>
          <w:bCs/>
          <w:sz w:val="20"/>
          <w:szCs w:val="20"/>
          <w:lang w:val="es-CO"/>
        </w:rPr>
        <w:t>.</w:t>
      </w:r>
      <w:r w:rsidR="00CE7A04">
        <w:rPr>
          <w:rFonts w:ascii="Arial" w:hAnsi="Arial" w:cs="Arial"/>
          <w:bCs/>
          <w:sz w:val="20"/>
          <w:szCs w:val="20"/>
          <w:lang w:val="es-CO"/>
        </w:rPr>
        <w:t>5</w:t>
      </w:r>
      <w:r w:rsidR="00E50C63">
        <w:rPr>
          <w:rFonts w:ascii="Arial" w:hAnsi="Arial" w:cs="Arial"/>
          <w:bCs/>
          <w:sz w:val="20"/>
          <w:szCs w:val="20"/>
          <w:lang w:val="es-CO"/>
        </w:rPr>
        <w:t>. del Decreto 2555 de 2010</w:t>
      </w:r>
      <w:r w:rsidR="00134AFF">
        <w:rPr>
          <w:rFonts w:ascii="Arial" w:hAnsi="Arial" w:cs="Arial"/>
          <w:bCs/>
          <w:sz w:val="20"/>
          <w:szCs w:val="20"/>
          <w:lang w:val="es-CO"/>
        </w:rPr>
        <w:t>.</w:t>
      </w:r>
      <w:r w:rsidR="00CA423F">
        <w:rPr>
          <w:rFonts w:ascii="Arial" w:hAnsi="Arial" w:cs="Arial"/>
          <w:bCs/>
          <w:sz w:val="20"/>
          <w:szCs w:val="20"/>
          <w:lang w:val="es-CO"/>
        </w:rPr>
        <w:t xml:space="preserve"> </w:t>
      </w:r>
      <w:r w:rsidR="004A1640">
        <w:rPr>
          <w:rFonts w:ascii="Arial" w:hAnsi="Arial" w:cs="Arial"/>
          <w:bCs/>
          <w:sz w:val="20"/>
          <w:szCs w:val="20"/>
          <w:lang w:val="es-CO"/>
        </w:rPr>
        <w:t xml:space="preserve">En todo caso, </w:t>
      </w:r>
      <w:r w:rsidR="007B1482">
        <w:rPr>
          <w:rFonts w:ascii="Arial" w:hAnsi="Arial" w:cs="Arial"/>
          <w:bCs/>
          <w:sz w:val="20"/>
          <w:szCs w:val="20"/>
          <w:lang w:val="es-CO"/>
        </w:rPr>
        <w:t>la entidad podrá calcular el ajuste por riesgo no financiero a nivel de siniestro</w:t>
      </w:r>
      <w:r w:rsidR="00CC33B0">
        <w:rPr>
          <w:rFonts w:ascii="Arial" w:hAnsi="Arial" w:cs="Arial"/>
          <w:bCs/>
          <w:sz w:val="20"/>
          <w:szCs w:val="20"/>
          <w:lang w:val="es-CO"/>
        </w:rPr>
        <w:t>, en eventos de alta incertidumbre respecto del monto de siniestro.</w:t>
      </w:r>
    </w:p>
    <w:p w14:paraId="363880CC" w14:textId="77777777" w:rsidR="0022389C" w:rsidRDefault="0022389C" w:rsidP="00666496">
      <w:pPr>
        <w:jc w:val="both"/>
        <w:rPr>
          <w:rFonts w:ascii="Arial" w:hAnsi="Arial" w:cs="Arial"/>
          <w:bCs/>
          <w:sz w:val="20"/>
          <w:szCs w:val="20"/>
          <w:lang w:val="es-CO"/>
        </w:rPr>
      </w:pPr>
    </w:p>
    <w:p w14:paraId="146D3658" w14:textId="4AEFA5B7" w:rsidR="00C34234" w:rsidRDefault="00CA423F" w:rsidP="00666496">
      <w:pPr>
        <w:jc w:val="both"/>
        <w:rPr>
          <w:rFonts w:ascii="Arial" w:hAnsi="Arial" w:cs="Arial"/>
          <w:bCs/>
          <w:sz w:val="20"/>
          <w:szCs w:val="20"/>
          <w:lang w:val="es-CO"/>
        </w:rPr>
      </w:pPr>
      <w:r>
        <w:rPr>
          <w:rFonts w:ascii="Arial" w:hAnsi="Arial" w:cs="Arial"/>
          <w:bCs/>
          <w:sz w:val="20"/>
          <w:szCs w:val="20"/>
          <w:lang w:val="es-CO"/>
        </w:rPr>
        <w:t xml:space="preserve">El ajuste por riesgo no financiero </w:t>
      </w:r>
      <w:r w:rsidR="00627AED">
        <w:rPr>
          <w:rFonts w:ascii="Arial" w:hAnsi="Arial" w:cs="Arial"/>
          <w:bCs/>
          <w:sz w:val="20"/>
          <w:szCs w:val="20"/>
          <w:lang w:val="es-CO"/>
        </w:rPr>
        <w:t xml:space="preserve">debe calcularse </w:t>
      </w:r>
      <w:r w:rsidR="00545701">
        <w:rPr>
          <w:rFonts w:ascii="Arial" w:hAnsi="Arial" w:cs="Arial"/>
          <w:bCs/>
          <w:sz w:val="20"/>
          <w:szCs w:val="20"/>
          <w:lang w:val="es-CO"/>
        </w:rPr>
        <w:t xml:space="preserve">bruto de reaseguro y </w:t>
      </w:r>
      <w:r w:rsidR="00627AED">
        <w:rPr>
          <w:rFonts w:ascii="Arial" w:hAnsi="Arial" w:cs="Arial"/>
          <w:bCs/>
          <w:sz w:val="20"/>
          <w:szCs w:val="20"/>
          <w:lang w:val="es-CO"/>
        </w:rPr>
        <w:t xml:space="preserve">de forma independiente </w:t>
      </w:r>
      <w:r w:rsidR="009858AA">
        <w:rPr>
          <w:rFonts w:ascii="Arial" w:hAnsi="Arial" w:cs="Arial"/>
          <w:bCs/>
          <w:sz w:val="20"/>
          <w:szCs w:val="20"/>
          <w:lang w:val="es-CO"/>
        </w:rPr>
        <w:t>a</w:t>
      </w:r>
      <w:r w:rsidR="00026368">
        <w:rPr>
          <w:rFonts w:ascii="Arial" w:hAnsi="Arial" w:cs="Arial"/>
          <w:bCs/>
          <w:sz w:val="20"/>
          <w:szCs w:val="20"/>
          <w:lang w:val="es-CO"/>
        </w:rPr>
        <w:t xml:space="preserve"> los flujos de efectivo</w:t>
      </w:r>
      <w:r w:rsidR="009A71D9">
        <w:rPr>
          <w:rFonts w:ascii="Arial" w:hAnsi="Arial" w:cs="Arial"/>
          <w:bCs/>
          <w:sz w:val="20"/>
          <w:szCs w:val="20"/>
          <w:lang w:val="es-CO"/>
        </w:rPr>
        <w:t xml:space="preserve"> y sus diferentes componentes</w:t>
      </w:r>
      <w:r w:rsidR="00125985">
        <w:rPr>
          <w:rFonts w:ascii="Arial" w:hAnsi="Arial" w:cs="Arial"/>
          <w:bCs/>
          <w:sz w:val="20"/>
          <w:szCs w:val="20"/>
          <w:lang w:val="es-CO"/>
        </w:rPr>
        <w:t>,</w:t>
      </w:r>
      <w:r w:rsidR="00B025F8">
        <w:rPr>
          <w:rFonts w:ascii="Arial" w:hAnsi="Arial" w:cs="Arial"/>
          <w:bCs/>
          <w:sz w:val="20"/>
          <w:szCs w:val="20"/>
          <w:lang w:val="es-CO"/>
        </w:rPr>
        <w:t xml:space="preserve"> pero </w:t>
      </w:r>
      <w:r w:rsidR="00946423">
        <w:rPr>
          <w:rFonts w:ascii="Arial" w:hAnsi="Arial" w:cs="Arial"/>
          <w:bCs/>
          <w:sz w:val="20"/>
          <w:szCs w:val="20"/>
          <w:lang w:val="es-CO"/>
        </w:rPr>
        <w:t xml:space="preserve">admite ajustes </w:t>
      </w:r>
      <w:r w:rsidR="00BC59B7">
        <w:rPr>
          <w:rFonts w:ascii="Arial" w:hAnsi="Arial" w:cs="Arial"/>
          <w:bCs/>
          <w:sz w:val="20"/>
          <w:szCs w:val="20"/>
          <w:lang w:val="es-CO"/>
        </w:rPr>
        <w:t>por experiencia</w:t>
      </w:r>
      <w:r w:rsidR="004D4B0E">
        <w:rPr>
          <w:rFonts w:ascii="Arial" w:hAnsi="Arial" w:cs="Arial"/>
          <w:bCs/>
          <w:sz w:val="20"/>
          <w:szCs w:val="20"/>
          <w:lang w:val="es-CO"/>
        </w:rPr>
        <w:t>, los cuales debe</w:t>
      </w:r>
      <w:r w:rsidR="00184132">
        <w:rPr>
          <w:rFonts w:ascii="Arial" w:hAnsi="Arial" w:cs="Arial"/>
          <w:bCs/>
          <w:sz w:val="20"/>
          <w:szCs w:val="20"/>
          <w:lang w:val="es-CO"/>
        </w:rPr>
        <w:t>n</w:t>
      </w:r>
      <w:r w:rsidR="004D4B0E">
        <w:rPr>
          <w:rFonts w:ascii="Arial" w:hAnsi="Arial" w:cs="Arial"/>
          <w:bCs/>
          <w:sz w:val="20"/>
          <w:szCs w:val="20"/>
          <w:lang w:val="es-CO"/>
        </w:rPr>
        <w:t xml:space="preserve"> ser debidamente revelados</w:t>
      </w:r>
      <w:r w:rsidR="00A97D4B">
        <w:rPr>
          <w:rFonts w:ascii="Arial" w:hAnsi="Arial" w:cs="Arial"/>
          <w:bCs/>
          <w:sz w:val="20"/>
          <w:szCs w:val="20"/>
          <w:lang w:val="es-CO"/>
        </w:rPr>
        <w:t xml:space="preserve"> en la información financiera </w:t>
      </w:r>
      <w:r w:rsidR="00B50DFA">
        <w:rPr>
          <w:rFonts w:ascii="Arial" w:hAnsi="Arial" w:cs="Arial"/>
          <w:bCs/>
          <w:sz w:val="20"/>
          <w:szCs w:val="20"/>
          <w:lang w:val="es-CO"/>
        </w:rPr>
        <w:t>periódica</w:t>
      </w:r>
      <w:r w:rsidR="0092247B">
        <w:rPr>
          <w:rFonts w:ascii="Arial" w:hAnsi="Arial" w:cs="Arial"/>
          <w:bCs/>
          <w:sz w:val="20"/>
          <w:szCs w:val="20"/>
          <w:lang w:val="es-CO"/>
        </w:rPr>
        <w:t xml:space="preserve">. De acuerdo con el artículo 2.31.4.1.5. del Decreto 2555 de 2010, el ajuste por riesgo no financiero se calcula </w:t>
      </w:r>
      <w:r w:rsidR="0098199C">
        <w:rPr>
          <w:rFonts w:ascii="Arial" w:hAnsi="Arial" w:cs="Arial"/>
          <w:bCs/>
          <w:sz w:val="20"/>
          <w:szCs w:val="20"/>
          <w:lang w:val="es-CO"/>
        </w:rPr>
        <w:t xml:space="preserve">a partir de la siguiente formula: </w:t>
      </w:r>
    </w:p>
    <w:p w14:paraId="4EA2336E" w14:textId="77777777" w:rsidR="0098199C" w:rsidRDefault="0098199C" w:rsidP="00666496">
      <w:pPr>
        <w:jc w:val="both"/>
        <w:rPr>
          <w:rFonts w:ascii="Arial" w:hAnsi="Arial" w:cs="Arial"/>
          <w:bCs/>
          <w:sz w:val="20"/>
          <w:szCs w:val="20"/>
          <w:lang w:val="es-CO"/>
        </w:rPr>
      </w:pPr>
    </w:p>
    <w:p w14:paraId="26686302" w14:textId="2D605A3F" w:rsidR="00294EBE" w:rsidRPr="00DF39E3" w:rsidRDefault="000F2AC9" w:rsidP="00294EBE">
      <w:pPr>
        <w:jc w:val="both"/>
        <w:rPr>
          <w:rFonts w:ascii="Arial" w:hAnsi="Arial" w:cs="Arial"/>
          <w:bCs/>
          <w:sz w:val="20"/>
          <w:szCs w:val="20"/>
          <w:lang w:val="es-CO"/>
        </w:rPr>
      </w:pPr>
      <m:oMathPara>
        <m:oMath>
          <m:sSub>
            <m:sSubPr>
              <m:ctrlPr>
                <w:rPr>
                  <w:rFonts w:ascii="Cambria Math" w:hAnsi="Cambria Math" w:cs="Arial"/>
                  <w:bCs/>
                  <w:i/>
                  <w:sz w:val="20"/>
                  <w:szCs w:val="20"/>
                  <w:lang w:val="es-CO"/>
                </w:rPr>
              </m:ctrlPr>
            </m:sSubPr>
            <m:e>
              <m:r>
                <w:rPr>
                  <w:rFonts w:ascii="Cambria Math" w:hAnsi="Cambria Math" w:cs="Arial"/>
                  <w:sz w:val="20"/>
                  <w:szCs w:val="20"/>
                  <w:lang w:val="es-CO"/>
                </w:rPr>
                <m:t>Ajuste por riesgo no financiero</m:t>
              </m:r>
            </m:e>
            <m:sub>
              <m:r>
                <w:rPr>
                  <w:rFonts w:ascii="Cambria Math" w:hAnsi="Cambria Math" w:cs="Arial"/>
                  <w:sz w:val="20"/>
                  <w:szCs w:val="20"/>
                  <w:lang w:val="es-CO"/>
                </w:rPr>
                <m:t>i</m:t>
              </m:r>
            </m:sub>
          </m:sSub>
          <m:r>
            <w:rPr>
              <w:rFonts w:ascii="Cambria Math" w:hAnsi="Cambria Math" w:cs="Arial"/>
              <w:sz w:val="20"/>
              <w:szCs w:val="20"/>
              <w:lang w:val="es-CO"/>
            </w:rPr>
            <m:t>=CoC*</m:t>
          </m:r>
          <m:nary>
            <m:naryPr>
              <m:chr m:val="∑"/>
              <m:limLoc m:val="undOvr"/>
              <m:supHide m:val="1"/>
              <m:ctrlPr>
                <w:rPr>
                  <w:rFonts w:ascii="Cambria Math" w:hAnsi="Cambria Math" w:cs="Arial"/>
                  <w:bCs/>
                  <w:i/>
                  <w:sz w:val="20"/>
                  <w:szCs w:val="20"/>
                  <w:lang w:val="es-CO"/>
                </w:rPr>
              </m:ctrlPr>
            </m:naryPr>
            <m:sub>
              <m:r>
                <w:rPr>
                  <w:rFonts w:ascii="Cambria Math" w:hAnsi="Cambria Math" w:cs="Arial"/>
                  <w:sz w:val="20"/>
                  <w:szCs w:val="20"/>
                  <w:lang w:val="es-CO"/>
                </w:rPr>
                <m:t>t≥0</m:t>
              </m:r>
            </m:sub>
            <m:sup/>
            <m:e>
              <m:f>
                <m:fPr>
                  <m:ctrlPr>
                    <w:rPr>
                      <w:rFonts w:ascii="Cambria Math" w:hAnsi="Cambria Math" w:cs="Arial"/>
                      <w:bCs/>
                      <w:i/>
                      <w:sz w:val="20"/>
                      <w:szCs w:val="20"/>
                      <w:lang w:val="es-CO"/>
                    </w:rPr>
                  </m:ctrlPr>
                </m:fPr>
                <m:num>
                  <m:sSub>
                    <m:sSubPr>
                      <m:ctrlPr>
                        <w:rPr>
                          <w:rFonts w:ascii="Cambria Math" w:hAnsi="Cambria Math" w:cs="Arial"/>
                          <w:bCs/>
                          <w:i/>
                          <w:sz w:val="20"/>
                          <w:szCs w:val="20"/>
                          <w:lang w:val="es-CO"/>
                        </w:rPr>
                      </m:ctrlPr>
                    </m:sSubPr>
                    <m:e>
                      <m:r>
                        <w:rPr>
                          <w:rFonts w:ascii="Cambria Math" w:hAnsi="Cambria Math" w:cs="Arial"/>
                          <w:sz w:val="20"/>
                          <w:szCs w:val="20"/>
                          <w:lang w:val="es-CO"/>
                        </w:rPr>
                        <m:t>Requerimiento de capital por riesgo de suscripción</m:t>
                      </m:r>
                    </m:e>
                    <m:sub>
                      <m:r>
                        <w:rPr>
                          <w:rFonts w:ascii="Cambria Math" w:hAnsi="Cambria Math" w:cs="Arial"/>
                          <w:sz w:val="20"/>
                          <w:szCs w:val="20"/>
                          <w:lang w:val="es-CO"/>
                        </w:rPr>
                        <m:t>i,t</m:t>
                      </m:r>
                    </m:sub>
                  </m:sSub>
                </m:num>
                <m:den>
                  <m:sSup>
                    <m:sSupPr>
                      <m:ctrlPr>
                        <w:rPr>
                          <w:rFonts w:ascii="Cambria Math" w:hAnsi="Cambria Math" w:cs="Arial"/>
                          <w:bCs/>
                          <w:i/>
                          <w:sz w:val="20"/>
                          <w:szCs w:val="20"/>
                          <w:lang w:val="es-CO"/>
                        </w:rPr>
                      </m:ctrlPr>
                    </m:sSupPr>
                    <m:e>
                      <m:d>
                        <m:dPr>
                          <m:ctrlPr>
                            <w:rPr>
                              <w:rFonts w:ascii="Cambria Math" w:hAnsi="Cambria Math" w:cs="Arial"/>
                              <w:bCs/>
                              <w:i/>
                              <w:sz w:val="20"/>
                              <w:szCs w:val="20"/>
                              <w:lang w:val="es-CO"/>
                            </w:rPr>
                          </m:ctrlPr>
                        </m:dPr>
                        <m:e>
                          <m:r>
                            <w:rPr>
                              <w:rFonts w:ascii="Cambria Math" w:hAnsi="Cambria Math" w:cs="Arial"/>
                              <w:sz w:val="20"/>
                              <w:szCs w:val="20"/>
                              <w:lang w:val="es-CO"/>
                            </w:rPr>
                            <m:t>1+</m:t>
                          </m:r>
                          <m:sSub>
                            <m:sSubPr>
                              <m:ctrlPr>
                                <w:rPr>
                                  <w:rFonts w:ascii="Cambria Math" w:hAnsi="Cambria Math" w:cs="Arial"/>
                                  <w:bCs/>
                                  <w:i/>
                                  <w:sz w:val="20"/>
                                  <w:szCs w:val="20"/>
                                  <w:lang w:val="es-CO"/>
                                </w:rPr>
                              </m:ctrlPr>
                            </m:sSubPr>
                            <m:e>
                              <m:r>
                                <w:rPr>
                                  <w:rFonts w:ascii="Cambria Math" w:hAnsi="Cambria Math" w:cs="Arial"/>
                                  <w:sz w:val="20"/>
                                  <w:szCs w:val="20"/>
                                  <w:lang w:val="es-CO"/>
                                </w:rPr>
                                <m:t>r</m:t>
                              </m:r>
                            </m:e>
                            <m:sub>
                              <m:r>
                                <w:rPr>
                                  <w:rFonts w:ascii="Cambria Math" w:hAnsi="Cambria Math" w:cs="Arial"/>
                                  <w:sz w:val="20"/>
                                  <w:szCs w:val="20"/>
                                  <w:lang w:val="es-CO"/>
                                </w:rPr>
                                <m:t>t+1</m:t>
                              </m:r>
                            </m:sub>
                          </m:sSub>
                        </m:e>
                      </m:d>
                    </m:e>
                    <m:sup>
                      <m:r>
                        <w:rPr>
                          <w:rFonts w:ascii="Cambria Math" w:hAnsi="Cambria Math" w:cs="Arial"/>
                          <w:sz w:val="20"/>
                          <w:szCs w:val="20"/>
                          <w:lang w:val="es-CO"/>
                        </w:rPr>
                        <m:t>t+1</m:t>
                      </m:r>
                    </m:sup>
                  </m:sSup>
                </m:den>
              </m:f>
            </m:e>
          </m:nary>
        </m:oMath>
      </m:oMathPara>
    </w:p>
    <w:p w14:paraId="0DFAF6A1" w14:textId="77777777" w:rsidR="002D3B66" w:rsidRDefault="002D3B66" w:rsidP="00294EBE">
      <w:pPr>
        <w:jc w:val="both"/>
        <w:rPr>
          <w:rFonts w:ascii="Arial" w:hAnsi="Arial" w:cs="Arial"/>
          <w:bCs/>
          <w:sz w:val="20"/>
          <w:szCs w:val="20"/>
          <w:lang w:val="es-CO"/>
        </w:rPr>
      </w:pPr>
    </w:p>
    <w:p w14:paraId="76F6683A" w14:textId="77777777" w:rsidR="00294EBE" w:rsidRDefault="00294EBE" w:rsidP="00294EBE">
      <w:pPr>
        <w:jc w:val="both"/>
        <w:rPr>
          <w:rFonts w:ascii="Arial" w:hAnsi="Arial" w:cs="Arial"/>
          <w:bCs/>
          <w:sz w:val="20"/>
          <w:szCs w:val="20"/>
          <w:lang w:val="es-CO"/>
        </w:rPr>
      </w:pPr>
      <w:r>
        <w:rPr>
          <w:rFonts w:ascii="Arial" w:hAnsi="Arial" w:cs="Arial"/>
          <w:bCs/>
          <w:sz w:val="20"/>
          <w:szCs w:val="20"/>
          <w:lang w:val="es-CO"/>
        </w:rPr>
        <w:t>Donde:</w:t>
      </w:r>
    </w:p>
    <w:p w14:paraId="66096CAF" w14:textId="77777777" w:rsidR="00294EBE" w:rsidRDefault="00294EBE" w:rsidP="00294EBE">
      <w:pPr>
        <w:jc w:val="both"/>
        <w:rPr>
          <w:rFonts w:ascii="Arial" w:hAnsi="Arial" w:cs="Arial"/>
          <w:bCs/>
          <w:sz w:val="20"/>
          <w:szCs w:val="20"/>
          <w:lang w:val="es-CO"/>
        </w:rPr>
      </w:pPr>
    </w:p>
    <w:p w14:paraId="129B59E8" w14:textId="3653F90B" w:rsidR="00294EBE" w:rsidRPr="00157C63" w:rsidRDefault="000F2AC9" w:rsidP="00294EBE">
      <w:pPr>
        <w:jc w:val="both"/>
        <w:rPr>
          <w:rFonts w:ascii="Arial" w:hAnsi="Arial" w:cs="Arial"/>
          <w:bCs/>
          <w:sz w:val="20"/>
          <w:szCs w:val="20"/>
          <w:lang w:val="es-CO"/>
        </w:rPr>
      </w:pPr>
      <m:oMath>
        <m:sSub>
          <m:sSubPr>
            <m:ctrlPr>
              <w:rPr>
                <w:rFonts w:ascii="Cambria Math" w:hAnsi="Cambria Math" w:cs="Arial"/>
                <w:bCs/>
                <w:i/>
                <w:sz w:val="20"/>
                <w:szCs w:val="20"/>
                <w:lang w:val="es-CO"/>
              </w:rPr>
            </m:ctrlPr>
          </m:sSubPr>
          <m:e>
            <m:r>
              <w:rPr>
                <w:rFonts w:ascii="Cambria Math" w:hAnsi="Cambria Math" w:cs="Arial"/>
                <w:sz w:val="20"/>
                <w:szCs w:val="20"/>
                <w:lang w:val="es-CO"/>
              </w:rPr>
              <m:t>Ajuste por riesgo no financiero</m:t>
            </m:r>
          </m:e>
          <m:sub>
            <m:r>
              <w:rPr>
                <w:rFonts w:ascii="Cambria Math" w:hAnsi="Cambria Math" w:cs="Arial"/>
                <w:sz w:val="20"/>
                <w:szCs w:val="20"/>
                <w:lang w:val="es-CO"/>
              </w:rPr>
              <m:t>i</m:t>
            </m:r>
          </m:sub>
        </m:sSub>
      </m:oMath>
      <w:r w:rsidR="00294EBE" w:rsidRPr="00157C63">
        <w:rPr>
          <w:rFonts w:ascii="Arial" w:hAnsi="Arial" w:cs="Arial"/>
          <w:bCs/>
          <w:sz w:val="20"/>
          <w:szCs w:val="20"/>
          <w:lang w:val="es-CO"/>
        </w:rPr>
        <w:t>: corr</w:t>
      </w:r>
      <w:r w:rsidR="00294EBE">
        <w:rPr>
          <w:rFonts w:ascii="Arial" w:hAnsi="Arial" w:cs="Arial"/>
          <w:bCs/>
          <w:sz w:val="20"/>
          <w:szCs w:val="20"/>
          <w:lang w:val="es-CO"/>
        </w:rPr>
        <w:t xml:space="preserve">esponde al </w:t>
      </w:r>
      <w:r w:rsidR="002E6D5A">
        <w:rPr>
          <w:rFonts w:ascii="Arial" w:hAnsi="Arial" w:cs="Arial"/>
          <w:bCs/>
          <w:sz w:val="20"/>
          <w:szCs w:val="20"/>
          <w:lang w:val="es-CO"/>
        </w:rPr>
        <w:t>ajuste por riesgo no financiero</w:t>
      </w:r>
      <w:r w:rsidR="0008244E">
        <w:rPr>
          <w:rFonts w:ascii="Arial" w:hAnsi="Arial" w:cs="Arial"/>
          <w:bCs/>
          <w:sz w:val="20"/>
          <w:szCs w:val="20"/>
          <w:lang w:val="es-CO"/>
        </w:rPr>
        <w:t xml:space="preserve"> para cada cartera </w:t>
      </w:r>
      <w:r w:rsidR="001C2A30">
        <w:rPr>
          <w:rFonts w:ascii="Arial" w:hAnsi="Arial" w:cs="Arial"/>
          <w:bCs/>
          <w:sz w:val="20"/>
          <w:szCs w:val="20"/>
          <w:lang w:val="es-CO"/>
        </w:rPr>
        <w:t xml:space="preserve">de contratos de seguro y/o reaseguro </w:t>
      </w:r>
      <m:oMath>
        <m:r>
          <w:rPr>
            <w:rFonts w:ascii="Cambria Math" w:hAnsi="Cambria Math" w:cs="Arial"/>
            <w:sz w:val="20"/>
            <w:szCs w:val="20"/>
            <w:lang w:val="es-CO"/>
          </w:rPr>
          <m:t>i</m:t>
        </m:r>
      </m:oMath>
      <w:r w:rsidR="00294EBE">
        <w:rPr>
          <w:rFonts w:ascii="Arial" w:hAnsi="Arial" w:cs="Arial"/>
          <w:bCs/>
          <w:sz w:val="20"/>
          <w:szCs w:val="20"/>
          <w:lang w:val="es-CO"/>
        </w:rPr>
        <w:t>.</w:t>
      </w:r>
    </w:p>
    <w:p w14:paraId="6CD4D512" w14:textId="77777777" w:rsidR="00294EBE" w:rsidRDefault="00294EBE" w:rsidP="00294EBE">
      <w:pPr>
        <w:jc w:val="both"/>
        <w:rPr>
          <w:rFonts w:ascii="Arial" w:hAnsi="Arial" w:cs="Arial"/>
          <w:bCs/>
          <w:sz w:val="20"/>
          <w:szCs w:val="20"/>
          <w:lang w:val="es-CO"/>
        </w:rPr>
      </w:pPr>
    </w:p>
    <w:p w14:paraId="3BFF11CB" w14:textId="31BFAF71" w:rsidR="00294EBE" w:rsidRPr="00157C63" w:rsidRDefault="0066314D" w:rsidP="00294EBE">
      <w:pPr>
        <w:jc w:val="both"/>
        <w:rPr>
          <w:rFonts w:ascii="Arial" w:hAnsi="Arial" w:cs="Arial"/>
          <w:bCs/>
          <w:sz w:val="20"/>
          <w:szCs w:val="20"/>
          <w:lang w:val="es-CO"/>
        </w:rPr>
      </w:pPr>
      <m:oMath>
        <m:r>
          <w:rPr>
            <w:rFonts w:ascii="Cambria Math" w:hAnsi="Cambria Math" w:cs="Arial"/>
            <w:sz w:val="20"/>
            <w:szCs w:val="20"/>
            <w:lang w:val="es-CO"/>
          </w:rPr>
          <m:t>CoC</m:t>
        </m:r>
      </m:oMath>
      <w:r w:rsidR="00294EBE" w:rsidRPr="00157C63">
        <w:rPr>
          <w:rFonts w:ascii="Arial" w:hAnsi="Arial" w:cs="Arial"/>
          <w:bCs/>
          <w:sz w:val="20"/>
          <w:szCs w:val="20"/>
          <w:lang w:val="es-CO"/>
        </w:rPr>
        <w:t>: corr</w:t>
      </w:r>
      <w:r w:rsidR="00294EBE">
        <w:rPr>
          <w:rFonts w:ascii="Arial" w:hAnsi="Arial" w:cs="Arial"/>
          <w:bCs/>
          <w:sz w:val="20"/>
          <w:szCs w:val="20"/>
          <w:lang w:val="es-CO"/>
        </w:rPr>
        <w:t>e</w:t>
      </w:r>
      <w:r w:rsidR="00D31F75">
        <w:rPr>
          <w:rFonts w:ascii="Arial" w:hAnsi="Arial" w:cs="Arial"/>
          <w:bCs/>
          <w:sz w:val="20"/>
          <w:szCs w:val="20"/>
          <w:lang w:val="es-CO"/>
        </w:rPr>
        <w:t xml:space="preserve">sponde a la </w:t>
      </w:r>
      <w:r w:rsidR="004130DF">
        <w:rPr>
          <w:rFonts w:ascii="Arial" w:hAnsi="Arial" w:cs="Arial"/>
          <w:bCs/>
          <w:sz w:val="20"/>
          <w:szCs w:val="20"/>
          <w:lang w:val="es-CO"/>
        </w:rPr>
        <w:t xml:space="preserve">tasa real anual </w:t>
      </w:r>
      <w:r w:rsidR="00985F0B">
        <w:rPr>
          <w:rFonts w:ascii="Arial" w:hAnsi="Arial" w:cs="Arial"/>
          <w:bCs/>
          <w:sz w:val="20"/>
          <w:szCs w:val="20"/>
          <w:lang w:val="es-CO"/>
        </w:rPr>
        <w:t>de costo de capital</w:t>
      </w:r>
      <w:r w:rsidR="005A31F7">
        <w:rPr>
          <w:rFonts w:ascii="Arial" w:hAnsi="Arial" w:cs="Arial"/>
          <w:bCs/>
          <w:sz w:val="20"/>
          <w:szCs w:val="20"/>
          <w:lang w:val="es-CO"/>
        </w:rPr>
        <w:t xml:space="preserve">, calculada de acuerdo con </w:t>
      </w:r>
      <w:r w:rsidR="00294EBE">
        <w:rPr>
          <w:rFonts w:ascii="Arial" w:hAnsi="Arial" w:cs="Arial"/>
          <w:bCs/>
          <w:sz w:val="20"/>
          <w:szCs w:val="20"/>
          <w:lang w:val="es-CO"/>
        </w:rPr>
        <w:t>el numeral 3.</w:t>
      </w:r>
      <w:r w:rsidR="007E32D0">
        <w:rPr>
          <w:rFonts w:ascii="Arial" w:hAnsi="Arial" w:cs="Arial"/>
          <w:bCs/>
          <w:sz w:val="20"/>
          <w:szCs w:val="20"/>
          <w:lang w:val="es-CO"/>
        </w:rPr>
        <w:t>4</w:t>
      </w:r>
      <w:r w:rsidR="00294EBE">
        <w:rPr>
          <w:rFonts w:ascii="Arial" w:hAnsi="Arial" w:cs="Arial"/>
          <w:bCs/>
          <w:sz w:val="20"/>
          <w:szCs w:val="20"/>
          <w:lang w:val="es-CO"/>
        </w:rPr>
        <w:t>.1. del presente capítulo.</w:t>
      </w:r>
    </w:p>
    <w:p w14:paraId="435A7522" w14:textId="77777777" w:rsidR="00294EBE" w:rsidRDefault="00294EBE" w:rsidP="00294EBE">
      <w:pPr>
        <w:jc w:val="both"/>
        <w:rPr>
          <w:rFonts w:ascii="Arial" w:hAnsi="Arial" w:cs="Arial"/>
          <w:bCs/>
          <w:sz w:val="20"/>
          <w:szCs w:val="20"/>
          <w:lang w:val="es-CO"/>
        </w:rPr>
      </w:pPr>
    </w:p>
    <w:p w14:paraId="004C71C5" w14:textId="26EC9153" w:rsidR="00294EBE" w:rsidRPr="00157C63" w:rsidRDefault="000F2AC9" w:rsidP="00294EBE">
      <w:pPr>
        <w:jc w:val="both"/>
        <w:rPr>
          <w:rFonts w:ascii="Arial" w:hAnsi="Arial" w:cs="Arial"/>
          <w:bCs/>
          <w:sz w:val="20"/>
          <w:szCs w:val="20"/>
          <w:lang w:val="es-CO"/>
        </w:rPr>
      </w:pPr>
      <m:oMath>
        <m:sSub>
          <m:sSubPr>
            <m:ctrlPr>
              <w:rPr>
                <w:rFonts w:ascii="Cambria Math" w:hAnsi="Cambria Math" w:cs="Arial"/>
                <w:bCs/>
                <w:i/>
                <w:sz w:val="20"/>
                <w:szCs w:val="20"/>
                <w:lang w:val="es-CO"/>
              </w:rPr>
            </m:ctrlPr>
          </m:sSubPr>
          <m:e>
            <m:r>
              <w:rPr>
                <w:rFonts w:ascii="Cambria Math" w:hAnsi="Cambria Math" w:cs="Arial"/>
                <w:sz w:val="20"/>
                <w:szCs w:val="20"/>
                <w:lang w:val="es-CO"/>
              </w:rPr>
              <m:t>Requerimiento de capital por riesgo de suscripción</m:t>
            </m:r>
          </m:e>
          <m:sub>
            <m:r>
              <w:rPr>
                <w:rFonts w:ascii="Cambria Math" w:hAnsi="Cambria Math" w:cs="Arial"/>
                <w:sz w:val="20"/>
                <w:szCs w:val="20"/>
                <w:lang w:val="es-CO"/>
              </w:rPr>
              <m:t>i,t</m:t>
            </m:r>
          </m:sub>
        </m:sSub>
      </m:oMath>
      <w:r w:rsidR="00294EBE" w:rsidRPr="00157C63">
        <w:rPr>
          <w:rFonts w:ascii="Arial" w:hAnsi="Arial" w:cs="Arial"/>
          <w:bCs/>
          <w:sz w:val="20"/>
          <w:szCs w:val="20"/>
          <w:lang w:val="es-CO"/>
        </w:rPr>
        <w:t>: corr</w:t>
      </w:r>
      <w:r w:rsidR="00294EBE">
        <w:rPr>
          <w:rFonts w:ascii="Arial" w:hAnsi="Arial" w:cs="Arial"/>
          <w:bCs/>
          <w:sz w:val="20"/>
          <w:szCs w:val="20"/>
          <w:lang w:val="es-CO"/>
        </w:rPr>
        <w:t>esponde al</w:t>
      </w:r>
      <w:r w:rsidR="00BB591B">
        <w:rPr>
          <w:rFonts w:ascii="Arial" w:hAnsi="Arial" w:cs="Arial"/>
          <w:bCs/>
          <w:sz w:val="20"/>
          <w:szCs w:val="20"/>
          <w:lang w:val="es-CO"/>
        </w:rPr>
        <w:t xml:space="preserve"> requerimiento </w:t>
      </w:r>
      <w:r w:rsidR="003F4F4B">
        <w:rPr>
          <w:rFonts w:ascii="Arial" w:hAnsi="Arial" w:cs="Arial"/>
          <w:bCs/>
          <w:sz w:val="20"/>
          <w:szCs w:val="20"/>
          <w:lang w:val="es-CO"/>
        </w:rPr>
        <w:t xml:space="preserve">de capital </w:t>
      </w:r>
      <w:r w:rsidR="0010585F">
        <w:rPr>
          <w:rFonts w:ascii="Arial" w:hAnsi="Arial" w:cs="Arial"/>
          <w:bCs/>
          <w:sz w:val="20"/>
          <w:szCs w:val="20"/>
          <w:lang w:val="es-CO"/>
        </w:rPr>
        <w:t>por concepto de riesgo de suscripción</w:t>
      </w:r>
      <w:r w:rsidR="00C73B61">
        <w:rPr>
          <w:rFonts w:ascii="Arial" w:hAnsi="Arial" w:cs="Arial"/>
          <w:bCs/>
          <w:sz w:val="20"/>
          <w:szCs w:val="20"/>
          <w:lang w:val="es-CO"/>
        </w:rPr>
        <w:t xml:space="preserve"> para cada cartera de contratos de seguro y/o reaseguro </w:t>
      </w:r>
      <m:oMath>
        <m:r>
          <w:rPr>
            <w:rFonts w:ascii="Cambria Math" w:hAnsi="Cambria Math" w:cs="Arial"/>
            <w:sz w:val="20"/>
            <w:szCs w:val="20"/>
            <w:lang w:val="es-CO"/>
          </w:rPr>
          <m:t>i</m:t>
        </m:r>
      </m:oMath>
      <w:r w:rsidR="00DF3BFE">
        <w:rPr>
          <w:rFonts w:ascii="Arial" w:hAnsi="Arial" w:cs="Arial"/>
          <w:bCs/>
          <w:sz w:val="20"/>
          <w:szCs w:val="20"/>
          <w:lang w:val="es-CO"/>
        </w:rPr>
        <w:t xml:space="preserve">, </w:t>
      </w:r>
      <w:r w:rsidR="00294EBE">
        <w:rPr>
          <w:rFonts w:ascii="Arial" w:hAnsi="Arial" w:cs="Arial"/>
          <w:bCs/>
          <w:sz w:val="20"/>
          <w:szCs w:val="20"/>
          <w:lang w:val="es-CO"/>
        </w:rPr>
        <w:t>de acuerdo con lo señalado en el numeral 3.</w:t>
      </w:r>
      <w:r w:rsidR="003A336E">
        <w:rPr>
          <w:rFonts w:ascii="Arial" w:hAnsi="Arial" w:cs="Arial"/>
          <w:bCs/>
          <w:sz w:val="20"/>
          <w:szCs w:val="20"/>
          <w:lang w:val="es-CO"/>
        </w:rPr>
        <w:t>4</w:t>
      </w:r>
      <w:r w:rsidR="00294EBE">
        <w:rPr>
          <w:rFonts w:ascii="Arial" w:hAnsi="Arial" w:cs="Arial"/>
          <w:bCs/>
          <w:sz w:val="20"/>
          <w:szCs w:val="20"/>
          <w:lang w:val="es-CO"/>
        </w:rPr>
        <w:t>.2. del presente capítulo.</w:t>
      </w:r>
    </w:p>
    <w:p w14:paraId="5B1BE301" w14:textId="77777777" w:rsidR="0098199C" w:rsidRDefault="0098199C" w:rsidP="00666496">
      <w:pPr>
        <w:jc w:val="both"/>
        <w:rPr>
          <w:rFonts w:ascii="Arial" w:hAnsi="Arial" w:cs="Arial"/>
          <w:bCs/>
          <w:sz w:val="20"/>
          <w:szCs w:val="20"/>
          <w:lang w:val="es-CO"/>
        </w:rPr>
      </w:pPr>
    </w:p>
    <w:p w14:paraId="630F54CB" w14:textId="2941F7A5" w:rsidR="008639C9" w:rsidRPr="0066314D" w:rsidRDefault="000F2AC9" w:rsidP="00666496">
      <w:pPr>
        <w:jc w:val="both"/>
        <w:rPr>
          <w:rFonts w:ascii="Arial" w:hAnsi="Arial" w:cs="Arial"/>
          <w:sz w:val="20"/>
          <w:szCs w:val="20"/>
          <w:lang w:val="es-CO"/>
        </w:rPr>
      </w:pPr>
      <m:oMath>
        <m:sSub>
          <m:sSubPr>
            <m:ctrlPr>
              <w:rPr>
                <w:rFonts w:ascii="Cambria Math" w:hAnsi="Cambria Math" w:cs="Arial"/>
                <w:bCs/>
                <w:i/>
                <w:sz w:val="20"/>
                <w:szCs w:val="20"/>
                <w:lang w:val="es-CO"/>
              </w:rPr>
            </m:ctrlPr>
          </m:sSubPr>
          <m:e>
            <m:r>
              <w:rPr>
                <w:rFonts w:ascii="Cambria Math" w:hAnsi="Cambria Math" w:cs="Arial"/>
                <w:sz w:val="20"/>
                <w:szCs w:val="20"/>
                <w:lang w:val="es-CO"/>
              </w:rPr>
              <m:t>r</m:t>
            </m:r>
          </m:e>
          <m:sub>
            <m:r>
              <w:rPr>
                <w:rFonts w:ascii="Cambria Math" w:hAnsi="Cambria Math" w:cs="Arial"/>
                <w:sz w:val="20"/>
                <w:szCs w:val="20"/>
                <w:lang w:val="es-CO"/>
              </w:rPr>
              <m:t>t+1</m:t>
            </m:r>
            <m:ctrlPr>
              <w:rPr>
                <w:rFonts w:ascii="Cambria Math" w:hAnsi="Cambria Math" w:cs="Arial"/>
                <w:i/>
                <w:sz w:val="20"/>
                <w:szCs w:val="20"/>
                <w:lang w:val="es-CO"/>
              </w:rPr>
            </m:ctrlPr>
          </m:sub>
        </m:sSub>
      </m:oMath>
      <w:r w:rsidR="0066314D">
        <w:rPr>
          <w:rFonts w:ascii="Arial" w:hAnsi="Arial" w:cs="Arial"/>
          <w:bCs/>
          <w:sz w:val="20"/>
          <w:szCs w:val="20"/>
          <w:lang w:val="es-CO"/>
        </w:rPr>
        <w:t>:</w:t>
      </w:r>
      <w:r w:rsidR="002E6D5A">
        <w:rPr>
          <w:rFonts w:ascii="Arial" w:hAnsi="Arial" w:cs="Arial"/>
          <w:bCs/>
          <w:sz w:val="20"/>
          <w:szCs w:val="20"/>
          <w:lang w:val="es-CO"/>
        </w:rPr>
        <w:t xml:space="preserve"> </w:t>
      </w:r>
      <w:r w:rsidR="00351075">
        <w:rPr>
          <w:rFonts w:ascii="Arial" w:hAnsi="Arial" w:cs="Arial"/>
          <w:bCs/>
          <w:sz w:val="20"/>
          <w:szCs w:val="20"/>
          <w:lang w:val="es-CO"/>
        </w:rPr>
        <w:t xml:space="preserve">corresponde a la tasa de descuento </w:t>
      </w:r>
      <w:r w:rsidR="001D312E">
        <w:rPr>
          <w:rFonts w:ascii="Arial" w:hAnsi="Arial" w:cs="Arial"/>
          <w:bCs/>
          <w:sz w:val="20"/>
          <w:szCs w:val="20"/>
          <w:lang w:val="es-CO"/>
        </w:rPr>
        <w:t xml:space="preserve">de que trata </w:t>
      </w:r>
      <w:r w:rsidR="00D2727C">
        <w:rPr>
          <w:rFonts w:ascii="Arial" w:hAnsi="Arial" w:cs="Arial"/>
          <w:bCs/>
          <w:sz w:val="20"/>
          <w:szCs w:val="20"/>
          <w:lang w:val="es-CO"/>
        </w:rPr>
        <w:t>el numeral 3.3. del presente capítulo</w:t>
      </w:r>
      <w:r w:rsidR="00195BFC">
        <w:rPr>
          <w:rFonts w:ascii="Arial" w:hAnsi="Arial" w:cs="Arial"/>
          <w:bCs/>
          <w:sz w:val="20"/>
          <w:szCs w:val="20"/>
          <w:lang w:val="es-CO"/>
        </w:rPr>
        <w:t xml:space="preserve">, </w:t>
      </w:r>
      <w:r w:rsidR="00E6746A">
        <w:rPr>
          <w:rFonts w:ascii="Arial" w:hAnsi="Arial" w:cs="Arial"/>
          <w:bCs/>
          <w:sz w:val="20"/>
          <w:szCs w:val="20"/>
          <w:lang w:val="es-CO"/>
        </w:rPr>
        <w:t xml:space="preserve">aplicable </w:t>
      </w:r>
      <w:r w:rsidR="004922A8">
        <w:rPr>
          <w:rFonts w:ascii="Arial" w:hAnsi="Arial" w:cs="Arial"/>
          <w:bCs/>
          <w:sz w:val="20"/>
          <w:szCs w:val="20"/>
          <w:lang w:val="es-CO"/>
        </w:rPr>
        <w:t xml:space="preserve">al </w:t>
      </w:r>
      <w:r w:rsidR="00BE38CF">
        <w:rPr>
          <w:rFonts w:ascii="Arial" w:hAnsi="Arial" w:cs="Arial"/>
          <w:bCs/>
          <w:sz w:val="20"/>
          <w:szCs w:val="20"/>
          <w:lang w:val="es-CO"/>
        </w:rPr>
        <w:t xml:space="preserve">vencimiento </w:t>
      </w:r>
      <m:oMath>
        <m:r>
          <w:rPr>
            <w:rFonts w:ascii="Cambria Math" w:hAnsi="Cambria Math" w:cs="Arial"/>
            <w:sz w:val="20"/>
            <w:szCs w:val="20"/>
            <w:lang w:val="es-CO"/>
          </w:rPr>
          <m:t>t+1</m:t>
        </m:r>
      </m:oMath>
      <w:r w:rsidR="00BF3621">
        <w:rPr>
          <w:rFonts w:ascii="Arial" w:hAnsi="Arial" w:cs="Arial"/>
          <w:bCs/>
          <w:sz w:val="20"/>
          <w:szCs w:val="20"/>
          <w:lang w:val="es-CO"/>
        </w:rPr>
        <w:t xml:space="preserve"> en términos anuales</w:t>
      </w:r>
      <w:r w:rsidR="00681AA4">
        <w:rPr>
          <w:rFonts w:ascii="Arial" w:hAnsi="Arial" w:cs="Arial"/>
          <w:bCs/>
          <w:sz w:val="20"/>
          <w:szCs w:val="20"/>
          <w:lang w:val="es-CO"/>
        </w:rPr>
        <w:t>.</w:t>
      </w:r>
    </w:p>
    <w:p w14:paraId="0EA3FA5B" w14:textId="7E51D74F" w:rsidR="008639C9" w:rsidRDefault="008639C9" w:rsidP="00666496">
      <w:pPr>
        <w:jc w:val="both"/>
        <w:rPr>
          <w:rFonts w:ascii="Arial" w:hAnsi="Arial" w:cs="Arial"/>
          <w:bCs/>
          <w:sz w:val="20"/>
          <w:szCs w:val="20"/>
          <w:lang w:val="es-CO"/>
        </w:rPr>
      </w:pPr>
    </w:p>
    <w:p w14:paraId="23B71688" w14:textId="6538253A" w:rsidR="00536F1D" w:rsidRPr="00536F1D" w:rsidRDefault="00A45C16" w:rsidP="00BE2CFC">
      <w:pPr>
        <w:pStyle w:val="Prrafodelista"/>
        <w:numPr>
          <w:ilvl w:val="2"/>
          <w:numId w:val="1"/>
        </w:numPr>
        <w:ind w:left="851" w:hanging="851"/>
        <w:jc w:val="both"/>
        <w:rPr>
          <w:rFonts w:ascii="Arial" w:hAnsi="Arial" w:cs="Arial"/>
          <w:b/>
          <w:sz w:val="20"/>
          <w:szCs w:val="20"/>
          <w:lang w:val="es-CO"/>
        </w:rPr>
      </w:pPr>
      <w:r>
        <w:rPr>
          <w:rFonts w:ascii="Arial" w:hAnsi="Arial" w:cs="Arial"/>
          <w:b/>
          <w:sz w:val="20"/>
          <w:szCs w:val="20"/>
          <w:lang w:val="es-CO"/>
        </w:rPr>
        <w:lastRenderedPageBreak/>
        <w:t xml:space="preserve">Tasa </w:t>
      </w:r>
      <w:r w:rsidR="00B25A03">
        <w:rPr>
          <w:rFonts w:ascii="Arial" w:hAnsi="Arial" w:cs="Arial"/>
          <w:b/>
          <w:sz w:val="20"/>
          <w:szCs w:val="20"/>
          <w:lang w:val="es-CO"/>
        </w:rPr>
        <w:t>de costo de capital (</w:t>
      </w:r>
      <w:proofErr w:type="spellStart"/>
      <w:r w:rsidR="00B25A03">
        <w:rPr>
          <w:rFonts w:ascii="Arial" w:hAnsi="Arial" w:cs="Arial"/>
          <w:b/>
          <w:sz w:val="20"/>
          <w:szCs w:val="20"/>
          <w:lang w:val="es-CO"/>
        </w:rPr>
        <w:t>C</w:t>
      </w:r>
      <w:r w:rsidR="001470A3">
        <w:rPr>
          <w:rFonts w:ascii="Arial" w:hAnsi="Arial" w:cs="Arial"/>
          <w:b/>
          <w:sz w:val="20"/>
          <w:szCs w:val="20"/>
          <w:lang w:val="es-CO"/>
        </w:rPr>
        <w:t>oC</w:t>
      </w:r>
      <w:proofErr w:type="spellEnd"/>
      <w:r w:rsidR="00B25A03">
        <w:rPr>
          <w:rFonts w:ascii="Arial" w:hAnsi="Arial" w:cs="Arial"/>
          <w:b/>
          <w:sz w:val="20"/>
          <w:szCs w:val="20"/>
          <w:lang w:val="es-CO"/>
        </w:rPr>
        <w:t>)</w:t>
      </w:r>
    </w:p>
    <w:p w14:paraId="5CE3D738" w14:textId="38BA4988" w:rsidR="00536F1D" w:rsidRDefault="00536F1D" w:rsidP="00536F1D">
      <w:pPr>
        <w:jc w:val="both"/>
        <w:rPr>
          <w:rFonts w:ascii="Arial" w:hAnsi="Arial" w:cs="Arial"/>
          <w:bCs/>
          <w:sz w:val="20"/>
          <w:szCs w:val="20"/>
          <w:lang w:val="es-CO"/>
        </w:rPr>
      </w:pPr>
    </w:p>
    <w:p w14:paraId="53474B6A" w14:textId="68D05898" w:rsidR="00DB1B82" w:rsidRDefault="00202FC9" w:rsidP="00DB1B82">
      <w:pPr>
        <w:jc w:val="both"/>
        <w:rPr>
          <w:rFonts w:ascii="Arial" w:hAnsi="Arial" w:cs="Arial"/>
          <w:bCs/>
          <w:sz w:val="20"/>
          <w:szCs w:val="20"/>
          <w:lang w:val="es-CO"/>
        </w:rPr>
      </w:pPr>
      <w:r>
        <w:rPr>
          <w:rFonts w:ascii="Arial" w:hAnsi="Arial" w:cs="Arial"/>
          <w:bCs/>
          <w:sz w:val="20"/>
          <w:szCs w:val="20"/>
          <w:lang w:val="es-CO"/>
        </w:rPr>
        <w:t>D</w:t>
      </w:r>
      <w:r w:rsidRPr="00202FC9">
        <w:rPr>
          <w:rFonts w:ascii="Arial" w:hAnsi="Arial" w:cs="Arial"/>
          <w:bCs/>
          <w:sz w:val="20"/>
          <w:szCs w:val="20"/>
          <w:lang w:val="es-CO"/>
        </w:rPr>
        <w:t xml:space="preserve">e </w:t>
      </w:r>
      <w:r>
        <w:rPr>
          <w:rFonts w:ascii="Arial" w:hAnsi="Arial" w:cs="Arial"/>
          <w:bCs/>
          <w:sz w:val="20"/>
          <w:szCs w:val="20"/>
          <w:lang w:val="es-CO"/>
        </w:rPr>
        <w:t>acuerdo</w:t>
      </w:r>
      <w:r w:rsidRPr="00202FC9">
        <w:rPr>
          <w:rFonts w:ascii="Arial" w:hAnsi="Arial" w:cs="Arial"/>
          <w:bCs/>
          <w:sz w:val="20"/>
          <w:szCs w:val="20"/>
          <w:lang w:val="es-CO"/>
        </w:rPr>
        <w:t xml:space="preserve"> con el artículo 2.31.4.</w:t>
      </w:r>
      <w:r w:rsidR="00240C13">
        <w:rPr>
          <w:rFonts w:ascii="Arial" w:hAnsi="Arial" w:cs="Arial"/>
          <w:bCs/>
          <w:sz w:val="20"/>
          <w:szCs w:val="20"/>
          <w:lang w:val="es-CO"/>
        </w:rPr>
        <w:t>1</w:t>
      </w:r>
      <w:r w:rsidRPr="00202FC9">
        <w:rPr>
          <w:rFonts w:ascii="Arial" w:hAnsi="Arial" w:cs="Arial"/>
          <w:bCs/>
          <w:sz w:val="20"/>
          <w:szCs w:val="20"/>
          <w:lang w:val="es-CO"/>
        </w:rPr>
        <w:t>.</w:t>
      </w:r>
      <w:r w:rsidR="00240C13">
        <w:rPr>
          <w:rFonts w:ascii="Arial" w:hAnsi="Arial" w:cs="Arial"/>
          <w:bCs/>
          <w:sz w:val="20"/>
          <w:szCs w:val="20"/>
          <w:lang w:val="es-CO"/>
        </w:rPr>
        <w:t>5</w:t>
      </w:r>
      <w:r w:rsidRPr="00202FC9">
        <w:rPr>
          <w:rFonts w:ascii="Arial" w:hAnsi="Arial" w:cs="Arial"/>
          <w:bCs/>
          <w:sz w:val="20"/>
          <w:szCs w:val="20"/>
          <w:lang w:val="es-CO"/>
        </w:rPr>
        <w:t>. del Decreto 2555 de 2010</w:t>
      </w:r>
      <w:r w:rsidR="00632B53">
        <w:rPr>
          <w:rFonts w:ascii="Arial" w:hAnsi="Arial" w:cs="Arial"/>
          <w:bCs/>
          <w:sz w:val="20"/>
          <w:szCs w:val="20"/>
          <w:lang w:val="es-CO"/>
        </w:rPr>
        <w:t xml:space="preserve"> e</w:t>
      </w:r>
      <w:r w:rsidR="00663219">
        <w:rPr>
          <w:rFonts w:ascii="Arial" w:hAnsi="Arial" w:cs="Arial"/>
          <w:bCs/>
          <w:sz w:val="20"/>
          <w:szCs w:val="20"/>
          <w:lang w:val="es-CO"/>
        </w:rPr>
        <w:t xml:space="preserve">l ajuste por riesgo no financiero </w:t>
      </w:r>
      <w:r w:rsidR="00B91C68">
        <w:rPr>
          <w:rFonts w:ascii="Arial" w:hAnsi="Arial" w:cs="Arial"/>
          <w:bCs/>
          <w:sz w:val="20"/>
          <w:szCs w:val="20"/>
          <w:lang w:val="es-CO"/>
        </w:rPr>
        <w:t>de</w:t>
      </w:r>
      <w:r w:rsidR="00BE1F8C">
        <w:rPr>
          <w:rFonts w:ascii="Arial" w:hAnsi="Arial" w:cs="Arial"/>
          <w:bCs/>
          <w:sz w:val="20"/>
          <w:szCs w:val="20"/>
          <w:lang w:val="es-CO"/>
        </w:rPr>
        <w:t>be</w:t>
      </w:r>
      <w:r w:rsidR="000A6691">
        <w:rPr>
          <w:rFonts w:ascii="Arial" w:hAnsi="Arial" w:cs="Arial"/>
          <w:bCs/>
          <w:sz w:val="20"/>
          <w:szCs w:val="20"/>
          <w:lang w:val="es-CO"/>
        </w:rPr>
        <w:t xml:space="preserve"> incluir </w:t>
      </w:r>
      <w:r w:rsidR="004B7789">
        <w:rPr>
          <w:rFonts w:ascii="Arial" w:hAnsi="Arial" w:cs="Arial"/>
          <w:bCs/>
          <w:sz w:val="20"/>
          <w:szCs w:val="20"/>
          <w:lang w:val="es-CO"/>
        </w:rPr>
        <w:t xml:space="preserve">una tasa </w:t>
      </w:r>
      <w:r w:rsidR="001A7789">
        <w:rPr>
          <w:rFonts w:ascii="Arial" w:hAnsi="Arial" w:cs="Arial"/>
          <w:bCs/>
          <w:sz w:val="20"/>
          <w:szCs w:val="20"/>
          <w:lang w:val="es-CO"/>
        </w:rPr>
        <w:t xml:space="preserve">real </w:t>
      </w:r>
      <w:r w:rsidR="00910026">
        <w:rPr>
          <w:rFonts w:ascii="Arial" w:hAnsi="Arial" w:cs="Arial"/>
          <w:bCs/>
          <w:sz w:val="20"/>
          <w:szCs w:val="20"/>
          <w:lang w:val="es-CO"/>
        </w:rPr>
        <w:t>de costo de capital en términos anuales</w:t>
      </w:r>
      <w:r w:rsidR="00691EDE">
        <w:rPr>
          <w:rFonts w:ascii="Arial" w:hAnsi="Arial" w:cs="Arial"/>
          <w:bCs/>
          <w:sz w:val="20"/>
          <w:szCs w:val="20"/>
          <w:lang w:val="es-CO"/>
        </w:rPr>
        <w:t xml:space="preserve">, </w:t>
      </w:r>
      <w:r w:rsidR="000E1107">
        <w:rPr>
          <w:rFonts w:ascii="Arial" w:hAnsi="Arial" w:cs="Arial"/>
          <w:bCs/>
          <w:sz w:val="20"/>
          <w:szCs w:val="20"/>
          <w:lang w:val="es-CO"/>
        </w:rPr>
        <w:t xml:space="preserve">tal como se indica a continuación: </w:t>
      </w:r>
    </w:p>
    <w:p w14:paraId="1C6EBFBB" w14:textId="77777777" w:rsidR="00A01E1E" w:rsidRDefault="00A01E1E" w:rsidP="00DB1B82">
      <w:pPr>
        <w:jc w:val="both"/>
        <w:rPr>
          <w:rFonts w:ascii="Arial" w:hAnsi="Arial" w:cs="Arial"/>
          <w:bCs/>
          <w:sz w:val="20"/>
          <w:szCs w:val="20"/>
          <w:lang w:val="es-CO"/>
        </w:rPr>
      </w:pPr>
    </w:p>
    <w:p w14:paraId="1FD565F6" w14:textId="73C87108" w:rsidR="00A01E1E" w:rsidRDefault="00A01E1E" w:rsidP="00BE2CFC">
      <w:pPr>
        <w:pStyle w:val="Prrafodelista"/>
        <w:numPr>
          <w:ilvl w:val="1"/>
          <w:numId w:val="2"/>
        </w:numPr>
        <w:ind w:left="567" w:hanging="567"/>
        <w:jc w:val="both"/>
        <w:rPr>
          <w:rFonts w:ascii="Arial" w:hAnsi="Arial" w:cs="Arial"/>
          <w:bCs/>
          <w:sz w:val="20"/>
          <w:szCs w:val="20"/>
          <w:lang w:val="es-CO"/>
        </w:rPr>
      </w:pPr>
      <w:r>
        <w:rPr>
          <w:rFonts w:ascii="Arial" w:hAnsi="Arial" w:cs="Arial"/>
          <w:bCs/>
          <w:sz w:val="20"/>
          <w:szCs w:val="20"/>
          <w:lang w:val="es-CO"/>
        </w:rPr>
        <w:t>Entidades de</w:t>
      </w:r>
      <w:r w:rsidR="00642A61">
        <w:rPr>
          <w:rFonts w:ascii="Arial" w:hAnsi="Arial" w:cs="Arial"/>
          <w:bCs/>
          <w:sz w:val="20"/>
          <w:szCs w:val="20"/>
          <w:lang w:val="es-CO"/>
        </w:rPr>
        <w:t xml:space="preserve"> segu</w:t>
      </w:r>
      <w:r w:rsidR="0012637F">
        <w:rPr>
          <w:rFonts w:ascii="Arial" w:hAnsi="Arial" w:cs="Arial"/>
          <w:bCs/>
          <w:sz w:val="20"/>
          <w:szCs w:val="20"/>
          <w:lang w:val="es-CO"/>
        </w:rPr>
        <w:t xml:space="preserve">ros de vida: </w:t>
      </w:r>
      <w:r w:rsidR="000A13C1">
        <w:rPr>
          <w:rFonts w:ascii="Arial" w:hAnsi="Arial" w:cs="Arial"/>
          <w:bCs/>
          <w:sz w:val="20"/>
          <w:szCs w:val="20"/>
          <w:lang w:val="es-CO"/>
        </w:rPr>
        <w:t>6</w:t>
      </w:r>
      <w:r w:rsidR="00A93539">
        <w:rPr>
          <w:rFonts w:ascii="Arial" w:hAnsi="Arial" w:cs="Arial"/>
          <w:bCs/>
          <w:sz w:val="20"/>
          <w:szCs w:val="20"/>
          <w:lang w:val="es-CO"/>
        </w:rPr>
        <w:t>%.</w:t>
      </w:r>
    </w:p>
    <w:p w14:paraId="5120ACE5" w14:textId="03418C98" w:rsidR="00A93539" w:rsidRPr="00B24DD6" w:rsidRDefault="00A93539" w:rsidP="00B24DD6">
      <w:pPr>
        <w:jc w:val="both"/>
        <w:rPr>
          <w:rFonts w:ascii="Arial" w:hAnsi="Arial" w:cs="Arial"/>
          <w:bCs/>
          <w:sz w:val="20"/>
          <w:szCs w:val="20"/>
          <w:lang w:val="es-CO"/>
        </w:rPr>
      </w:pPr>
    </w:p>
    <w:p w14:paraId="0D99C792" w14:textId="20289727" w:rsidR="00A93539" w:rsidRDefault="00A93539" w:rsidP="00BE2CFC">
      <w:pPr>
        <w:pStyle w:val="Prrafodelista"/>
        <w:numPr>
          <w:ilvl w:val="1"/>
          <w:numId w:val="2"/>
        </w:numPr>
        <w:ind w:left="567" w:hanging="567"/>
        <w:jc w:val="both"/>
        <w:rPr>
          <w:rFonts w:ascii="Arial" w:hAnsi="Arial" w:cs="Arial"/>
          <w:bCs/>
          <w:sz w:val="20"/>
          <w:szCs w:val="20"/>
          <w:lang w:val="es-CO"/>
        </w:rPr>
      </w:pPr>
      <w:r>
        <w:rPr>
          <w:rFonts w:ascii="Arial" w:hAnsi="Arial" w:cs="Arial"/>
          <w:bCs/>
          <w:sz w:val="20"/>
          <w:szCs w:val="20"/>
          <w:lang w:val="es-CO"/>
        </w:rPr>
        <w:t xml:space="preserve">Entidades </w:t>
      </w:r>
      <w:r w:rsidR="00BF0620">
        <w:rPr>
          <w:rFonts w:ascii="Arial" w:hAnsi="Arial" w:cs="Arial"/>
          <w:bCs/>
          <w:sz w:val="20"/>
          <w:szCs w:val="20"/>
          <w:lang w:val="es-CO"/>
        </w:rPr>
        <w:t>de</w:t>
      </w:r>
      <w:r w:rsidR="0098350C">
        <w:rPr>
          <w:rFonts w:ascii="Arial" w:hAnsi="Arial" w:cs="Arial"/>
          <w:bCs/>
          <w:sz w:val="20"/>
          <w:szCs w:val="20"/>
          <w:lang w:val="es-CO"/>
        </w:rPr>
        <w:t xml:space="preserve"> </w:t>
      </w:r>
      <w:r w:rsidR="00C34DA7">
        <w:rPr>
          <w:rFonts w:ascii="Arial" w:hAnsi="Arial" w:cs="Arial"/>
          <w:bCs/>
          <w:sz w:val="20"/>
          <w:szCs w:val="20"/>
          <w:lang w:val="es-CO"/>
        </w:rPr>
        <w:t xml:space="preserve">seguros generales: </w:t>
      </w:r>
      <w:r w:rsidR="00456F8C">
        <w:rPr>
          <w:rFonts w:ascii="Arial" w:hAnsi="Arial" w:cs="Arial"/>
          <w:bCs/>
          <w:sz w:val="20"/>
          <w:szCs w:val="20"/>
          <w:lang w:val="es-CO"/>
        </w:rPr>
        <w:t>5,5</w:t>
      </w:r>
      <w:r w:rsidR="00C34DA7">
        <w:rPr>
          <w:rFonts w:ascii="Arial" w:hAnsi="Arial" w:cs="Arial"/>
          <w:bCs/>
          <w:sz w:val="20"/>
          <w:szCs w:val="20"/>
          <w:lang w:val="es-CO"/>
        </w:rPr>
        <w:t>%.</w:t>
      </w:r>
    </w:p>
    <w:p w14:paraId="04983468" w14:textId="77777777" w:rsidR="00C34DA7" w:rsidRPr="003B0CD7" w:rsidRDefault="00C34DA7" w:rsidP="003B0CD7">
      <w:pPr>
        <w:rPr>
          <w:rFonts w:ascii="Arial" w:hAnsi="Arial" w:cs="Arial"/>
          <w:bCs/>
          <w:sz w:val="20"/>
          <w:szCs w:val="20"/>
          <w:lang w:val="es-CO"/>
        </w:rPr>
      </w:pPr>
    </w:p>
    <w:p w14:paraId="7790AF0B" w14:textId="2EF8D993" w:rsidR="00C34DA7" w:rsidRDefault="001612E6" w:rsidP="00C34DA7">
      <w:pPr>
        <w:jc w:val="both"/>
        <w:rPr>
          <w:rFonts w:ascii="Arial" w:hAnsi="Arial" w:cs="Arial"/>
          <w:bCs/>
          <w:sz w:val="20"/>
          <w:szCs w:val="20"/>
          <w:lang w:val="es-CO"/>
        </w:rPr>
      </w:pPr>
      <w:r>
        <w:rPr>
          <w:rFonts w:ascii="Arial" w:hAnsi="Arial" w:cs="Arial"/>
          <w:bCs/>
          <w:sz w:val="20"/>
          <w:szCs w:val="20"/>
          <w:lang w:val="es-CO"/>
        </w:rPr>
        <w:t xml:space="preserve">De forma alternativa, las entidades podrán </w:t>
      </w:r>
      <w:r w:rsidR="006F3402">
        <w:rPr>
          <w:rFonts w:ascii="Arial" w:hAnsi="Arial" w:cs="Arial"/>
          <w:bCs/>
          <w:sz w:val="20"/>
          <w:szCs w:val="20"/>
          <w:lang w:val="es-CO"/>
        </w:rPr>
        <w:t xml:space="preserve">implementar una metodología interna </w:t>
      </w:r>
      <w:r w:rsidR="00AD3ED5">
        <w:rPr>
          <w:rFonts w:ascii="Arial" w:hAnsi="Arial" w:cs="Arial"/>
          <w:bCs/>
          <w:sz w:val="20"/>
          <w:szCs w:val="20"/>
          <w:lang w:val="es-CO"/>
        </w:rPr>
        <w:t xml:space="preserve">para </w:t>
      </w:r>
      <w:r w:rsidR="004F4AE7">
        <w:rPr>
          <w:rFonts w:ascii="Arial" w:hAnsi="Arial" w:cs="Arial"/>
          <w:bCs/>
          <w:sz w:val="20"/>
          <w:szCs w:val="20"/>
          <w:lang w:val="es-CO"/>
        </w:rPr>
        <w:t xml:space="preserve">calcular </w:t>
      </w:r>
      <w:r w:rsidR="0074033C">
        <w:rPr>
          <w:rFonts w:ascii="Arial" w:hAnsi="Arial" w:cs="Arial"/>
          <w:bCs/>
          <w:sz w:val="20"/>
          <w:szCs w:val="20"/>
          <w:lang w:val="es-CO"/>
        </w:rPr>
        <w:t>la tasa de costo de capital</w:t>
      </w:r>
      <w:r w:rsidR="003C50DE">
        <w:rPr>
          <w:rFonts w:ascii="Arial" w:hAnsi="Arial" w:cs="Arial"/>
          <w:bCs/>
          <w:sz w:val="20"/>
          <w:szCs w:val="20"/>
          <w:lang w:val="es-CO"/>
        </w:rPr>
        <w:t xml:space="preserve">, </w:t>
      </w:r>
      <w:r w:rsidR="009B18A2">
        <w:rPr>
          <w:rFonts w:ascii="Arial" w:hAnsi="Arial" w:cs="Arial"/>
          <w:bCs/>
          <w:sz w:val="20"/>
          <w:szCs w:val="20"/>
          <w:lang w:val="es-CO"/>
        </w:rPr>
        <w:t xml:space="preserve">la cual debe considerar los siguientes requisitos mínimos: </w:t>
      </w:r>
      <w:r w:rsidR="004B3F2A">
        <w:rPr>
          <w:rFonts w:ascii="Arial" w:hAnsi="Arial" w:cs="Arial"/>
          <w:bCs/>
          <w:sz w:val="20"/>
          <w:szCs w:val="20"/>
          <w:lang w:val="es-CO"/>
        </w:rPr>
        <w:t xml:space="preserve">(i) </w:t>
      </w:r>
      <w:r w:rsidR="007A7797">
        <w:rPr>
          <w:rFonts w:ascii="Arial" w:hAnsi="Arial" w:cs="Arial"/>
          <w:bCs/>
          <w:sz w:val="20"/>
          <w:szCs w:val="20"/>
          <w:lang w:val="es-CO"/>
        </w:rPr>
        <w:t xml:space="preserve">contar con sustento técnico y con suficiente desarrollo </w:t>
      </w:r>
      <w:r w:rsidR="00893544">
        <w:rPr>
          <w:rFonts w:ascii="Arial" w:hAnsi="Arial" w:cs="Arial"/>
          <w:bCs/>
          <w:sz w:val="20"/>
          <w:szCs w:val="20"/>
          <w:lang w:val="es-CO"/>
        </w:rPr>
        <w:t>tanto teórico como práctico</w:t>
      </w:r>
      <w:r w:rsidR="00D330DE">
        <w:rPr>
          <w:rFonts w:ascii="Arial" w:hAnsi="Arial" w:cs="Arial"/>
          <w:bCs/>
          <w:sz w:val="20"/>
          <w:szCs w:val="20"/>
          <w:lang w:val="es-CO"/>
        </w:rPr>
        <w:t>; (</w:t>
      </w:r>
      <w:proofErr w:type="spellStart"/>
      <w:r w:rsidR="00D330DE">
        <w:rPr>
          <w:rFonts w:ascii="Arial" w:hAnsi="Arial" w:cs="Arial"/>
          <w:bCs/>
          <w:sz w:val="20"/>
          <w:szCs w:val="20"/>
          <w:lang w:val="es-CO"/>
        </w:rPr>
        <w:t>ii</w:t>
      </w:r>
      <w:proofErr w:type="spellEnd"/>
      <w:r w:rsidR="00D330DE">
        <w:rPr>
          <w:rFonts w:ascii="Arial" w:hAnsi="Arial" w:cs="Arial"/>
          <w:bCs/>
          <w:sz w:val="20"/>
          <w:szCs w:val="20"/>
          <w:lang w:val="es-CO"/>
        </w:rPr>
        <w:t xml:space="preserve">) </w:t>
      </w:r>
      <w:r w:rsidR="00A83D93">
        <w:rPr>
          <w:rFonts w:ascii="Arial" w:hAnsi="Arial" w:cs="Arial"/>
          <w:bCs/>
          <w:sz w:val="20"/>
          <w:szCs w:val="20"/>
          <w:lang w:val="es-CO"/>
        </w:rPr>
        <w:t>la metodología debe permitir</w:t>
      </w:r>
      <w:r w:rsidR="00A83D93" w:rsidRPr="00A83D93">
        <w:rPr>
          <w:rFonts w:ascii="Arial" w:hAnsi="Arial" w:cs="Arial"/>
          <w:bCs/>
          <w:sz w:val="20"/>
          <w:szCs w:val="20"/>
          <w:lang w:val="es-CO"/>
        </w:rPr>
        <w:t xml:space="preserve"> obtener la rentabilidad del capital propio en función del riesgo asumido, </w:t>
      </w:r>
      <w:r w:rsidR="00F43677">
        <w:rPr>
          <w:rFonts w:ascii="Arial" w:hAnsi="Arial" w:cs="Arial"/>
          <w:bCs/>
          <w:sz w:val="20"/>
          <w:szCs w:val="20"/>
          <w:lang w:val="es-CO"/>
        </w:rPr>
        <w:t xml:space="preserve">calculada </w:t>
      </w:r>
      <w:r w:rsidR="00A83D93" w:rsidRPr="00A83D93">
        <w:rPr>
          <w:rFonts w:ascii="Arial" w:hAnsi="Arial" w:cs="Arial"/>
          <w:bCs/>
          <w:sz w:val="20"/>
          <w:szCs w:val="20"/>
          <w:lang w:val="es-CO"/>
        </w:rPr>
        <w:t xml:space="preserve">por encima de la tasa libre de riesgo, </w:t>
      </w:r>
      <w:r w:rsidR="00EE066C">
        <w:rPr>
          <w:rFonts w:ascii="Arial" w:hAnsi="Arial" w:cs="Arial"/>
          <w:bCs/>
          <w:sz w:val="20"/>
          <w:szCs w:val="20"/>
          <w:lang w:val="es-CO"/>
        </w:rPr>
        <w:t xml:space="preserve">de forma consistente con la metodología </w:t>
      </w:r>
      <w:r w:rsidR="001C6945" w:rsidRPr="001C6945">
        <w:rPr>
          <w:rFonts w:ascii="Arial" w:hAnsi="Arial" w:cs="Arial"/>
          <w:bCs/>
          <w:sz w:val="20"/>
          <w:szCs w:val="20"/>
          <w:lang w:val="es-CO"/>
        </w:rPr>
        <w:t>«</w:t>
      </w:r>
      <w:r w:rsidR="001C6945" w:rsidRPr="001C6945">
        <w:rPr>
          <w:rFonts w:ascii="Arial" w:hAnsi="Arial" w:cs="Arial"/>
          <w:bCs/>
          <w:i/>
          <w:iCs/>
          <w:sz w:val="20"/>
          <w:szCs w:val="20"/>
          <w:lang w:val="es-CO"/>
        </w:rPr>
        <w:t xml:space="preserve">Capital </w:t>
      </w:r>
      <w:proofErr w:type="spellStart"/>
      <w:r w:rsidR="001C6945" w:rsidRPr="001C6945">
        <w:rPr>
          <w:rFonts w:ascii="Arial" w:hAnsi="Arial" w:cs="Arial"/>
          <w:bCs/>
          <w:i/>
          <w:iCs/>
          <w:sz w:val="20"/>
          <w:szCs w:val="20"/>
          <w:lang w:val="es-CO"/>
        </w:rPr>
        <w:t>Asset</w:t>
      </w:r>
      <w:proofErr w:type="spellEnd"/>
      <w:r w:rsidR="001C6945" w:rsidRPr="001C6945">
        <w:rPr>
          <w:rFonts w:ascii="Arial" w:hAnsi="Arial" w:cs="Arial"/>
          <w:bCs/>
          <w:i/>
          <w:iCs/>
          <w:sz w:val="20"/>
          <w:szCs w:val="20"/>
          <w:lang w:val="es-CO"/>
        </w:rPr>
        <w:t xml:space="preserve"> </w:t>
      </w:r>
      <w:proofErr w:type="spellStart"/>
      <w:r w:rsidR="001C6945" w:rsidRPr="001C6945">
        <w:rPr>
          <w:rFonts w:ascii="Arial" w:hAnsi="Arial" w:cs="Arial"/>
          <w:bCs/>
          <w:i/>
          <w:iCs/>
          <w:sz w:val="20"/>
          <w:szCs w:val="20"/>
          <w:lang w:val="es-CO"/>
        </w:rPr>
        <w:t>Pricing</w:t>
      </w:r>
      <w:proofErr w:type="spellEnd"/>
      <w:r w:rsidR="001C6945" w:rsidRPr="001C6945">
        <w:rPr>
          <w:rFonts w:ascii="Arial" w:hAnsi="Arial" w:cs="Arial"/>
          <w:bCs/>
          <w:i/>
          <w:iCs/>
          <w:sz w:val="20"/>
          <w:szCs w:val="20"/>
          <w:lang w:val="es-CO"/>
        </w:rPr>
        <w:t xml:space="preserve"> </w:t>
      </w:r>
      <w:proofErr w:type="spellStart"/>
      <w:r w:rsidR="001C6945" w:rsidRPr="001C6945">
        <w:rPr>
          <w:rFonts w:ascii="Arial" w:hAnsi="Arial" w:cs="Arial"/>
          <w:bCs/>
          <w:i/>
          <w:iCs/>
          <w:sz w:val="20"/>
          <w:szCs w:val="20"/>
          <w:lang w:val="es-CO"/>
        </w:rPr>
        <w:t>Model</w:t>
      </w:r>
      <w:proofErr w:type="spellEnd"/>
      <w:r w:rsidR="001C6945" w:rsidRPr="001C6945">
        <w:rPr>
          <w:rFonts w:ascii="Arial" w:hAnsi="Arial" w:cs="Arial"/>
          <w:bCs/>
          <w:sz w:val="20"/>
          <w:szCs w:val="20"/>
          <w:lang w:val="es-CO"/>
        </w:rPr>
        <w:t>»</w:t>
      </w:r>
      <w:r w:rsidR="00D330DE">
        <w:rPr>
          <w:rFonts w:ascii="Arial" w:hAnsi="Arial" w:cs="Arial"/>
          <w:bCs/>
          <w:sz w:val="20"/>
          <w:szCs w:val="20"/>
          <w:lang w:val="es-CO"/>
        </w:rPr>
        <w:t>;</w:t>
      </w:r>
      <w:r w:rsidR="001C6945">
        <w:rPr>
          <w:rFonts w:ascii="Arial" w:hAnsi="Arial" w:cs="Arial"/>
          <w:bCs/>
          <w:sz w:val="20"/>
          <w:szCs w:val="20"/>
          <w:lang w:val="es-CO"/>
        </w:rPr>
        <w:t xml:space="preserve"> y</w:t>
      </w:r>
      <w:r w:rsidR="00D330DE">
        <w:rPr>
          <w:rFonts w:ascii="Arial" w:hAnsi="Arial" w:cs="Arial"/>
          <w:bCs/>
          <w:sz w:val="20"/>
          <w:szCs w:val="20"/>
          <w:lang w:val="es-CO"/>
        </w:rPr>
        <w:t xml:space="preserve"> (</w:t>
      </w:r>
      <w:proofErr w:type="spellStart"/>
      <w:r w:rsidR="00D330DE">
        <w:rPr>
          <w:rFonts w:ascii="Arial" w:hAnsi="Arial" w:cs="Arial"/>
          <w:bCs/>
          <w:sz w:val="20"/>
          <w:szCs w:val="20"/>
          <w:lang w:val="es-CO"/>
        </w:rPr>
        <w:t>iii</w:t>
      </w:r>
      <w:proofErr w:type="spellEnd"/>
      <w:r w:rsidR="00D330DE">
        <w:rPr>
          <w:rFonts w:ascii="Arial" w:hAnsi="Arial" w:cs="Arial"/>
          <w:bCs/>
          <w:sz w:val="20"/>
          <w:szCs w:val="20"/>
          <w:lang w:val="es-CO"/>
        </w:rPr>
        <w:t xml:space="preserve">) </w:t>
      </w:r>
      <w:r w:rsidR="00D86758">
        <w:rPr>
          <w:rFonts w:ascii="Arial" w:hAnsi="Arial" w:cs="Arial"/>
          <w:bCs/>
          <w:sz w:val="20"/>
          <w:szCs w:val="20"/>
          <w:lang w:val="es-CO"/>
        </w:rPr>
        <w:t>estar debidamente documentada</w:t>
      </w:r>
      <w:r w:rsidR="001E6723">
        <w:rPr>
          <w:rFonts w:ascii="Arial" w:hAnsi="Arial" w:cs="Arial"/>
          <w:bCs/>
          <w:sz w:val="20"/>
          <w:szCs w:val="20"/>
          <w:lang w:val="es-CO"/>
        </w:rPr>
        <w:t xml:space="preserve">, incluyendo aspectos </w:t>
      </w:r>
      <w:r w:rsidR="00B95638">
        <w:rPr>
          <w:rFonts w:ascii="Arial" w:hAnsi="Arial" w:cs="Arial"/>
          <w:bCs/>
          <w:sz w:val="20"/>
          <w:szCs w:val="20"/>
          <w:lang w:val="es-CO"/>
        </w:rPr>
        <w:t xml:space="preserve">tales </w:t>
      </w:r>
      <w:r w:rsidR="001E6723">
        <w:rPr>
          <w:rFonts w:ascii="Arial" w:hAnsi="Arial" w:cs="Arial"/>
          <w:bCs/>
          <w:sz w:val="20"/>
          <w:szCs w:val="20"/>
          <w:lang w:val="es-CO"/>
        </w:rPr>
        <w:t xml:space="preserve">como </w:t>
      </w:r>
      <w:r w:rsidR="009B2EA9">
        <w:rPr>
          <w:rFonts w:ascii="Arial" w:hAnsi="Arial" w:cs="Arial"/>
          <w:bCs/>
          <w:sz w:val="20"/>
          <w:szCs w:val="20"/>
          <w:lang w:val="es-CO"/>
        </w:rPr>
        <w:t xml:space="preserve">la </w:t>
      </w:r>
      <w:r w:rsidR="001E6723">
        <w:rPr>
          <w:rFonts w:ascii="Arial" w:hAnsi="Arial" w:cs="Arial"/>
          <w:bCs/>
          <w:sz w:val="20"/>
          <w:szCs w:val="20"/>
          <w:lang w:val="es-CO"/>
        </w:rPr>
        <w:t xml:space="preserve">descripción </w:t>
      </w:r>
      <w:r w:rsidR="00076F6C">
        <w:rPr>
          <w:rFonts w:ascii="Arial" w:hAnsi="Arial" w:cs="Arial"/>
          <w:bCs/>
          <w:sz w:val="20"/>
          <w:szCs w:val="20"/>
          <w:lang w:val="es-CO"/>
        </w:rPr>
        <w:t>metodológica</w:t>
      </w:r>
      <w:r w:rsidR="008B39AF">
        <w:rPr>
          <w:rFonts w:ascii="Arial" w:hAnsi="Arial" w:cs="Arial"/>
          <w:bCs/>
          <w:sz w:val="20"/>
          <w:szCs w:val="20"/>
          <w:lang w:val="es-CO"/>
        </w:rPr>
        <w:t xml:space="preserve"> y</w:t>
      </w:r>
      <w:r w:rsidR="00076F6C">
        <w:rPr>
          <w:rFonts w:ascii="Arial" w:hAnsi="Arial" w:cs="Arial"/>
          <w:bCs/>
          <w:sz w:val="20"/>
          <w:szCs w:val="20"/>
          <w:lang w:val="es-CO"/>
        </w:rPr>
        <w:t xml:space="preserve"> los </w:t>
      </w:r>
      <w:r w:rsidR="0097742B">
        <w:rPr>
          <w:rFonts w:ascii="Arial" w:hAnsi="Arial" w:cs="Arial"/>
          <w:bCs/>
          <w:sz w:val="20"/>
          <w:szCs w:val="20"/>
          <w:lang w:val="es-CO"/>
        </w:rPr>
        <w:t>supuestos</w:t>
      </w:r>
      <w:r w:rsidR="00076F6C">
        <w:rPr>
          <w:rFonts w:ascii="Arial" w:hAnsi="Arial" w:cs="Arial"/>
          <w:bCs/>
          <w:sz w:val="20"/>
          <w:szCs w:val="20"/>
          <w:lang w:val="es-CO"/>
        </w:rPr>
        <w:t xml:space="preserve"> </w:t>
      </w:r>
      <w:r w:rsidR="0097742B">
        <w:rPr>
          <w:rFonts w:ascii="Arial" w:hAnsi="Arial" w:cs="Arial"/>
          <w:bCs/>
          <w:sz w:val="20"/>
          <w:szCs w:val="20"/>
          <w:lang w:val="es-CO"/>
        </w:rPr>
        <w:t>utilizado</w:t>
      </w:r>
      <w:r w:rsidR="008B39AF">
        <w:rPr>
          <w:rFonts w:ascii="Arial" w:hAnsi="Arial" w:cs="Arial"/>
          <w:bCs/>
          <w:sz w:val="20"/>
          <w:szCs w:val="20"/>
          <w:lang w:val="es-CO"/>
        </w:rPr>
        <w:t>s</w:t>
      </w:r>
      <w:r w:rsidR="001C6945">
        <w:rPr>
          <w:rFonts w:ascii="Arial" w:hAnsi="Arial" w:cs="Arial"/>
          <w:bCs/>
          <w:sz w:val="20"/>
          <w:szCs w:val="20"/>
          <w:lang w:val="es-CO"/>
        </w:rPr>
        <w:t>.</w:t>
      </w:r>
      <w:r w:rsidR="00A378BC">
        <w:rPr>
          <w:rFonts w:ascii="Arial" w:hAnsi="Arial" w:cs="Arial"/>
          <w:bCs/>
          <w:sz w:val="20"/>
          <w:szCs w:val="20"/>
          <w:lang w:val="es-CO"/>
        </w:rPr>
        <w:t xml:space="preserve"> Esta metodología debe ser evaluada </w:t>
      </w:r>
      <w:r w:rsidR="000B2681">
        <w:rPr>
          <w:rFonts w:ascii="Arial" w:hAnsi="Arial" w:cs="Arial"/>
          <w:bCs/>
          <w:sz w:val="20"/>
          <w:szCs w:val="20"/>
          <w:lang w:val="es-CO"/>
        </w:rPr>
        <w:t xml:space="preserve">como mínimo </w:t>
      </w:r>
      <w:r w:rsidR="00A378BC">
        <w:rPr>
          <w:rFonts w:ascii="Arial" w:hAnsi="Arial" w:cs="Arial"/>
          <w:bCs/>
          <w:sz w:val="20"/>
          <w:szCs w:val="20"/>
          <w:lang w:val="es-CO"/>
        </w:rPr>
        <w:t>con una periodicidad anual.</w:t>
      </w:r>
    </w:p>
    <w:p w14:paraId="36423DC7" w14:textId="3E88C97E" w:rsidR="00D330DE" w:rsidRDefault="00D330DE" w:rsidP="00C34DA7">
      <w:pPr>
        <w:jc w:val="both"/>
        <w:rPr>
          <w:rFonts w:ascii="Arial" w:hAnsi="Arial" w:cs="Arial"/>
          <w:bCs/>
          <w:sz w:val="20"/>
          <w:szCs w:val="20"/>
          <w:lang w:val="es-CO"/>
        </w:rPr>
      </w:pPr>
    </w:p>
    <w:p w14:paraId="082931FB" w14:textId="0B5F5CD2" w:rsidR="008B39AF" w:rsidRDefault="002E7A73" w:rsidP="008B39AF">
      <w:pPr>
        <w:jc w:val="both"/>
        <w:rPr>
          <w:rFonts w:ascii="Arial" w:hAnsi="Arial" w:cs="Arial"/>
          <w:bCs/>
          <w:sz w:val="20"/>
          <w:szCs w:val="20"/>
          <w:lang w:val="es-CO"/>
        </w:rPr>
      </w:pPr>
      <w:r>
        <w:rPr>
          <w:rFonts w:ascii="Arial" w:hAnsi="Arial" w:cs="Arial"/>
          <w:bCs/>
          <w:sz w:val="20"/>
          <w:szCs w:val="20"/>
          <w:lang w:val="es-CO"/>
        </w:rPr>
        <w:t>De forma previa</w:t>
      </w:r>
      <w:r w:rsidR="00DB1B82">
        <w:rPr>
          <w:rFonts w:ascii="Arial" w:hAnsi="Arial" w:cs="Arial"/>
          <w:bCs/>
          <w:sz w:val="20"/>
          <w:szCs w:val="20"/>
          <w:lang w:val="es-CO"/>
        </w:rPr>
        <w:t xml:space="preserve"> a </w:t>
      </w:r>
      <w:r w:rsidR="00C03159">
        <w:rPr>
          <w:rFonts w:ascii="Arial" w:hAnsi="Arial" w:cs="Arial"/>
          <w:bCs/>
          <w:sz w:val="20"/>
          <w:szCs w:val="20"/>
          <w:lang w:val="es-CO"/>
        </w:rPr>
        <w:t>su</w:t>
      </w:r>
      <w:r w:rsidR="00DB1B82">
        <w:rPr>
          <w:rFonts w:ascii="Arial" w:hAnsi="Arial" w:cs="Arial"/>
          <w:bCs/>
          <w:sz w:val="20"/>
          <w:szCs w:val="20"/>
          <w:lang w:val="es-CO"/>
        </w:rPr>
        <w:t xml:space="preserve"> implementación, las entidades deben remitir a la SFC una solicitud de no objeción, </w:t>
      </w:r>
      <w:r w:rsidR="00EB34C8">
        <w:rPr>
          <w:rFonts w:ascii="Arial" w:hAnsi="Arial" w:cs="Arial"/>
          <w:bCs/>
          <w:sz w:val="20"/>
          <w:szCs w:val="20"/>
          <w:lang w:val="es-CO"/>
        </w:rPr>
        <w:t xml:space="preserve">que </w:t>
      </w:r>
      <w:r w:rsidR="00DB1B82">
        <w:rPr>
          <w:rFonts w:ascii="Arial" w:hAnsi="Arial" w:cs="Arial"/>
          <w:bCs/>
          <w:sz w:val="20"/>
          <w:szCs w:val="20"/>
          <w:lang w:val="es-CO"/>
        </w:rPr>
        <w:t>incluy</w:t>
      </w:r>
      <w:r w:rsidR="00EB34C8">
        <w:rPr>
          <w:rFonts w:ascii="Arial" w:hAnsi="Arial" w:cs="Arial"/>
          <w:bCs/>
          <w:sz w:val="20"/>
          <w:szCs w:val="20"/>
          <w:lang w:val="es-CO"/>
        </w:rPr>
        <w:t>a</w:t>
      </w:r>
      <w:r w:rsidR="008B39AF">
        <w:rPr>
          <w:rFonts w:ascii="Arial" w:hAnsi="Arial" w:cs="Arial"/>
          <w:bCs/>
          <w:sz w:val="20"/>
          <w:szCs w:val="20"/>
          <w:lang w:val="es-CO"/>
        </w:rPr>
        <w:t xml:space="preserve">: (i) </w:t>
      </w:r>
      <w:r>
        <w:rPr>
          <w:rFonts w:ascii="Arial" w:hAnsi="Arial" w:cs="Arial"/>
          <w:bCs/>
          <w:sz w:val="20"/>
          <w:szCs w:val="20"/>
          <w:lang w:val="es-CO"/>
        </w:rPr>
        <w:t xml:space="preserve">motivación de la solicitud y </w:t>
      </w:r>
      <w:r w:rsidR="008B39AF">
        <w:rPr>
          <w:rFonts w:ascii="Arial" w:hAnsi="Arial" w:cs="Arial"/>
          <w:bCs/>
          <w:sz w:val="20"/>
          <w:szCs w:val="20"/>
          <w:lang w:val="es-CO"/>
        </w:rPr>
        <w:t xml:space="preserve">explicación detallada de la metodología utilizada para calcular </w:t>
      </w:r>
      <w:r w:rsidR="0078598F">
        <w:rPr>
          <w:rFonts w:ascii="Arial" w:hAnsi="Arial" w:cs="Arial"/>
          <w:bCs/>
          <w:sz w:val="20"/>
          <w:szCs w:val="20"/>
          <w:lang w:val="es-CO"/>
        </w:rPr>
        <w:t xml:space="preserve">la tasa de costo de </w:t>
      </w:r>
      <w:r w:rsidR="0078598F" w:rsidRPr="00B40A56">
        <w:rPr>
          <w:rFonts w:ascii="Arial" w:hAnsi="Arial" w:cs="Arial"/>
          <w:color w:val="000000" w:themeColor="text1"/>
          <w:sz w:val="20"/>
          <w:szCs w:val="20"/>
          <w:lang w:val="es-CO"/>
        </w:rPr>
        <w:t>capital</w:t>
      </w:r>
      <w:r w:rsidR="00DC1A45" w:rsidRPr="00B40A56">
        <w:rPr>
          <w:rFonts w:ascii="Arial" w:hAnsi="Arial" w:cs="Arial"/>
          <w:color w:val="000000" w:themeColor="text1"/>
          <w:sz w:val="20"/>
          <w:szCs w:val="20"/>
          <w:lang w:val="es-CO"/>
        </w:rPr>
        <w:t>, que cumpla, como mínimo, con lo previsto en el literal (</w:t>
      </w:r>
      <w:proofErr w:type="spellStart"/>
      <w:r w:rsidR="00DC1A45" w:rsidRPr="00B40A56">
        <w:rPr>
          <w:rFonts w:ascii="Arial" w:hAnsi="Arial" w:cs="Arial"/>
          <w:color w:val="000000" w:themeColor="text1"/>
          <w:sz w:val="20"/>
          <w:szCs w:val="20"/>
          <w:lang w:val="es-CO"/>
        </w:rPr>
        <w:t>ii</w:t>
      </w:r>
      <w:proofErr w:type="spellEnd"/>
      <w:r w:rsidR="00DC1A45" w:rsidRPr="00B40A56">
        <w:rPr>
          <w:rFonts w:ascii="Arial" w:hAnsi="Arial" w:cs="Arial"/>
          <w:color w:val="000000" w:themeColor="text1"/>
          <w:sz w:val="20"/>
          <w:szCs w:val="20"/>
          <w:lang w:val="es-CO"/>
        </w:rPr>
        <w:t>) del p</w:t>
      </w:r>
      <w:r w:rsidR="009D2042" w:rsidRPr="00B40A56">
        <w:rPr>
          <w:rFonts w:ascii="Arial" w:hAnsi="Arial" w:cs="Arial"/>
          <w:color w:val="000000" w:themeColor="text1"/>
          <w:sz w:val="20"/>
          <w:szCs w:val="20"/>
          <w:lang w:val="es-CO"/>
        </w:rPr>
        <w:t>árrafo anterior</w:t>
      </w:r>
      <w:r w:rsidR="008B39AF" w:rsidRPr="00B40A56">
        <w:rPr>
          <w:rFonts w:ascii="Arial" w:hAnsi="Arial" w:cs="Arial"/>
          <w:color w:val="000000" w:themeColor="text1"/>
          <w:sz w:val="20"/>
          <w:szCs w:val="20"/>
          <w:lang w:val="es-CO"/>
        </w:rPr>
        <w:t>; (</w:t>
      </w:r>
      <w:proofErr w:type="spellStart"/>
      <w:r w:rsidR="008B39AF" w:rsidRPr="00B40A56">
        <w:rPr>
          <w:rFonts w:ascii="Arial" w:hAnsi="Arial" w:cs="Arial"/>
          <w:color w:val="000000" w:themeColor="text1"/>
          <w:sz w:val="20"/>
          <w:szCs w:val="20"/>
          <w:lang w:val="es-CO"/>
        </w:rPr>
        <w:t>ii</w:t>
      </w:r>
      <w:proofErr w:type="spellEnd"/>
      <w:r w:rsidR="008B39AF" w:rsidRPr="00B40A56">
        <w:rPr>
          <w:rFonts w:ascii="Arial" w:hAnsi="Arial" w:cs="Arial"/>
          <w:color w:val="000000" w:themeColor="text1"/>
          <w:sz w:val="20"/>
          <w:szCs w:val="20"/>
          <w:lang w:val="es-CO"/>
        </w:rPr>
        <w:t>)</w:t>
      </w:r>
      <w:r w:rsidR="0078598F" w:rsidRPr="00B40A56">
        <w:rPr>
          <w:rFonts w:ascii="Arial" w:hAnsi="Arial" w:cs="Arial"/>
          <w:color w:val="000000" w:themeColor="text1"/>
          <w:sz w:val="20"/>
          <w:szCs w:val="20"/>
          <w:lang w:val="es-CO"/>
        </w:rPr>
        <w:t xml:space="preserve"> </w:t>
      </w:r>
      <w:r w:rsidR="007774AA" w:rsidRPr="00B40A56">
        <w:rPr>
          <w:rFonts w:ascii="Arial" w:hAnsi="Arial" w:cs="Arial"/>
          <w:color w:val="000000" w:themeColor="text1"/>
          <w:sz w:val="20"/>
          <w:szCs w:val="20"/>
          <w:lang w:val="es-CO"/>
        </w:rPr>
        <w:t xml:space="preserve">análisis </w:t>
      </w:r>
      <w:r w:rsidR="00B7256F">
        <w:rPr>
          <w:rFonts w:ascii="Arial" w:hAnsi="Arial" w:cs="Arial"/>
          <w:color w:val="000000" w:themeColor="text1"/>
          <w:sz w:val="20"/>
          <w:szCs w:val="20"/>
          <w:lang w:val="es-CO"/>
        </w:rPr>
        <w:t xml:space="preserve">comparativo </w:t>
      </w:r>
      <w:r w:rsidR="007774AA" w:rsidRPr="00B40A56">
        <w:rPr>
          <w:rFonts w:ascii="Arial" w:hAnsi="Arial" w:cs="Arial"/>
          <w:color w:val="000000" w:themeColor="text1"/>
          <w:sz w:val="20"/>
          <w:szCs w:val="20"/>
          <w:lang w:val="es-CO"/>
        </w:rPr>
        <w:t xml:space="preserve">que </w:t>
      </w:r>
      <w:r w:rsidR="005A45E9" w:rsidRPr="00B40A56">
        <w:rPr>
          <w:rFonts w:ascii="Arial" w:hAnsi="Arial" w:cs="Arial"/>
          <w:color w:val="000000" w:themeColor="text1"/>
          <w:sz w:val="20"/>
          <w:szCs w:val="20"/>
          <w:lang w:val="es-CO"/>
        </w:rPr>
        <w:t xml:space="preserve">sustente las diferencias entre la tasa de costo de capital </w:t>
      </w:r>
      <w:r w:rsidR="003F14DE" w:rsidRPr="00B40A56">
        <w:rPr>
          <w:rFonts w:ascii="Arial" w:hAnsi="Arial" w:cs="Arial"/>
          <w:color w:val="000000" w:themeColor="text1"/>
          <w:sz w:val="20"/>
          <w:szCs w:val="20"/>
          <w:lang w:val="es-CO"/>
        </w:rPr>
        <w:t xml:space="preserve">calculada </w:t>
      </w:r>
      <w:r w:rsidR="00171821" w:rsidRPr="00B40A56">
        <w:rPr>
          <w:rFonts w:ascii="Arial" w:hAnsi="Arial" w:cs="Arial"/>
          <w:color w:val="000000" w:themeColor="text1"/>
          <w:sz w:val="20"/>
          <w:szCs w:val="20"/>
          <w:lang w:val="es-CO"/>
        </w:rPr>
        <w:t xml:space="preserve">de conformidad con los requisitos de la </w:t>
      </w:r>
      <w:r w:rsidR="005A45E9" w:rsidRPr="00B40A56">
        <w:rPr>
          <w:rFonts w:ascii="Arial" w:hAnsi="Arial" w:cs="Arial"/>
          <w:color w:val="000000" w:themeColor="text1"/>
          <w:sz w:val="20"/>
          <w:szCs w:val="20"/>
          <w:lang w:val="es-CO"/>
        </w:rPr>
        <w:t xml:space="preserve">presente </w:t>
      </w:r>
      <w:r w:rsidR="00171821" w:rsidRPr="00B40A56">
        <w:rPr>
          <w:rFonts w:ascii="Arial" w:hAnsi="Arial" w:cs="Arial"/>
          <w:color w:val="000000" w:themeColor="text1"/>
          <w:sz w:val="20"/>
          <w:szCs w:val="20"/>
          <w:lang w:val="es-CO"/>
        </w:rPr>
        <w:t>instrucción</w:t>
      </w:r>
      <w:r w:rsidR="005A45E9" w:rsidRPr="00B40A56">
        <w:rPr>
          <w:rFonts w:ascii="Arial" w:hAnsi="Arial" w:cs="Arial"/>
          <w:color w:val="000000" w:themeColor="text1"/>
          <w:sz w:val="20"/>
          <w:szCs w:val="20"/>
          <w:lang w:val="es-CO"/>
        </w:rPr>
        <w:t xml:space="preserve"> y la </w:t>
      </w:r>
      <w:r w:rsidR="005A45E9">
        <w:rPr>
          <w:rFonts w:ascii="Arial" w:hAnsi="Arial" w:cs="Arial"/>
          <w:bCs/>
          <w:sz w:val="20"/>
          <w:szCs w:val="20"/>
          <w:lang w:val="es-CO"/>
        </w:rPr>
        <w:t>calculada por la entidad</w:t>
      </w:r>
      <w:r w:rsidR="008B39AF">
        <w:rPr>
          <w:rFonts w:ascii="Arial" w:hAnsi="Arial" w:cs="Arial"/>
          <w:bCs/>
          <w:sz w:val="20"/>
          <w:szCs w:val="20"/>
          <w:lang w:val="es-CO"/>
        </w:rPr>
        <w:t>; y (</w:t>
      </w:r>
      <w:proofErr w:type="spellStart"/>
      <w:r w:rsidR="00C21FB2">
        <w:rPr>
          <w:rFonts w:ascii="Arial" w:hAnsi="Arial" w:cs="Arial"/>
          <w:bCs/>
          <w:sz w:val="20"/>
          <w:szCs w:val="20"/>
          <w:lang w:val="es-CO"/>
        </w:rPr>
        <w:t>iii</w:t>
      </w:r>
      <w:proofErr w:type="spellEnd"/>
      <w:r w:rsidR="008B39AF">
        <w:rPr>
          <w:rFonts w:ascii="Arial" w:hAnsi="Arial" w:cs="Arial"/>
          <w:bCs/>
          <w:sz w:val="20"/>
          <w:szCs w:val="20"/>
          <w:lang w:val="es-CO"/>
        </w:rPr>
        <w:t xml:space="preserve">) impactos estimados </w:t>
      </w:r>
      <w:r w:rsidR="00336E82">
        <w:rPr>
          <w:rFonts w:ascii="Arial" w:hAnsi="Arial" w:cs="Arial"/>
          <w:bCs/>
          <w:sz w:val="20"/>
          <w:szCs w:val="20"/>
          <w:lang w:val="es-CO"/>
        </w:rPr>
        <w:t xml:space="preserve">en el cálculo del ajuste por riesgo no financiero </w:t>
      </w:r>
      <w:r w:rsidR="008B39AF">
        <w:rPr>
          <w:rFonts w:ascii="Arial" w:hAnsi="Arial" w:cs="Arial"/>
          <w:bCs/>
          <w:sz w:val="20"/>
          <w:szCs w:val="20"/>
          <w:lang w:val="es-CO"/>
        </w:rPr>
        <w:t>por la implementación de la metodología interna</w:t>
      </w:r>
      <w:r w:rsidR="00A07C04">
        <w:rPr>
          <w:rFonts w:ascii="Arial" w:hAnsi="Arial" w:cs="Arial"/>
          <w:bCs/>
          <w:sz w:val="20"/>
          <w:szCs w:val="20"/>
          <w:lang w:val="es-CO"/>
        </w:rPr>
        <w:t xml:space="preserve"> del cálculo de la tasa del costo de </w:t>
      </w:r>
      <w:r w:rsidR="00A07C04" w:rsidRPr="00A07C04">
        <w:rPr>
          <w:rFonts w:ascii="Arial" w:hAnsi="Arial" w:cs="Arial"/>
          <w:bCs/>
          <w:sz w:val="20"/>
          <w:szCs w:val="20"/>
          <w:lang w:val="es-CO"/>
        </w:rPr>
        <w:t>capital (</w:t>
      </w:r>
      <w:proofErr w:type="spellStart"/>
      <w:r w:rsidR="00A07C04" w:rsidRPr="00A07C04">
        <w:rPr>
          <w:rFonts w:ascii="Arial" w:hAnsi="Arial" w:cs="Arial"/>
          <w:bCs/>
          <w:sz w:val="20"/>
          <w:szCs w:val="20"/>
          <w:lang w:val="es-CO"/>
        </w:rPr>
        <w:t>CoC</w:t>
      </w:r>
      <w:proofErr w:type="spellEnd"/>
      <w:r w:rsidR="00D52F22">
        <w:rPr>
          <w:rFonts w:ascii="Arial" w:hAnsi="Arial" w:cs="Arial"/>
          <w:bCs/>
          <w:sz w:val="20"/>
          <w:szCs w:val="20"/>
          <w:lang w:val="es-CO"/>
        </w:rPr>
        <w:t>)</w:t>
      </w:r>
      <w:r w:rsidR="00941104">
        <w:rPr>
          <w:rFonts w:ascii="Arial" w:hAnsi="Arial" w:cs="Arial"/>
          <w:bCs/>
          <w:sz w:val="20"/>
          <w:szCs w:val="20"/>
          <w:lang w:val="es-CO"/>
        </w:rPr>
        <w:t>.</w:t>
      </w:r>
    </w:p>
    <w:p w14:paraId="1328B726" w14:textId="77777777" w:rsidR="00EF1952" w:rsidRPr="00536F1D" w:rsidRDefault="00EF1952" w:rsidP="00536F1D">
      <w:pPr>
        <w:jc w:val="both"/>
        <w:rPr>
          <w:rFonts w:ascii="Arial" w:hAnsi="Arial" w:cs="Arial"/>
          <w:bCs/>
          <w:sz w:val="20"/>
          <w:szCs w:val="20"/>
          <w:lang w:val="es-CO"/>
        </w:rPr>
      </w:pPr>
    </w:p>
    <w:p w14:paraId="2DCDA716" w14:textId="0E35C373" w:rsidR="00536F1D" w:rsidRPr="00536F1D" w:rsidRDefault="00A147B1" w:rsidP="00BE2CFC">
      <w:pPr>
        <w:pStyle w:val="Prrafodelista"/>
        <w:numPr>
          <w:ilvl w:val="2"/>
          <w:numId w:val="1"/>
        </w:numPr>
        <w:ind w:left="851" w:hanging="851"/>
        <w:jc w:val="both"/>
        <w:rPr>
          <w:rFonts w:ascii="Arial" w:hAnsi="Arial" w:cs="Arial"/>
          <w:b/>
          <w:sz w:val="20"/>
          <w:szCs w:val="20"/>
          <w:lang w:val="es-CO"/>
        </w:rPr>
      </w:pPr>
      <w:r>
        <w:rPr>
          <w:rFonts w:ascii="Arial" w:hAnsi="Arial" w:cs="Arial"/>
          <w:b/>
          <w:sz w:val="20"/>
          <w:szCs w:val="20"/>
          <w:lang w:val="es-CO"/>
        </w:rPr>
        <w:t>Requerimiento de capital por riesgo de suscripción</w:t>
      </w:r>
    </w:p>
    <w:p w14:paraId="02EC2E74" w14:textId="77777777" w:rsidR="00536F1D" w:rsidRDefault="00536F1D" w:rsidP="00666496">
      <w:pPr>
        <w:jc w:val="both"/>
        <w:rPr>
          <w:rFonts w:ascii="Arial" w:hAnsi="Arial" w:cs="Arial"/>
          <w:bCs/>
          <w:sz w:val="20"/>
          <w:szCs w:val="20"/>
          <w:lang w:val="es-CO"/>
        </w:rPr>
      </w:pPr>
    </w:p>
    <w:p w14:paraId="6E4E3ACB" w14:textId="7F20EB69" w:rsidR="005B7D17" w:rsidRDefault="001C1432" w:rsidP="00D17D07">
      <w:pPr>
        <w:jc w:val="both"/>
        <w:rPr>
          <w:rFonts w:ascii="Arial" w:hAnsi="Arial" w:cs="Arial"/>
          <w:bCs/>
          <w:sz w:val="20"/>
          <w:szCs w:val="20"/>
          <w:lang w:val="es-CO"/>
        </w:rPr>
      </w:pPr>
      <w:r>
        <w:rPr>
          <w:rFonts w:ascii="Arial" w:hAnsi="Arial" w:cs="Arial"/>
          <w:bCs/>
          <w:sz w:val="20"/>
          <w:szCs w:val="20"/>
          <w:lang w:val="es-CO"/>
        </w:rPr>
        <w:t>D</w:t>
      </w:r>
      <w:r w:rsidRPr="00202FC9">
        <w:rPr>
          <w:rFonts w:ascii="Arial" w:hAnsi="Arial" w:cs="Arial"/>
          <w:bCs/>
          <w:sz w:val="20"/>
          <w:szCs w:val="20"/>
          <w:lang w:val="es-CO"/>
        </w:rPr>
        <w:t xml:space="preserve">e </w:t>
      </w:r>
      <w:r>
        <w:rPr>
          <w:rFonts w:ascii="Arial" w:hAnsi="Arial" w:cs="Arial"/>
          <w:bCs/>
          <w:sz w:val="20"/>
          <w:szCs w:val="20"/>
          <w:lang w:val="es-CO"/>
        </w:rPr>
        <w:t>acuerdo</w:t>
      </w:r>
      <w:r w:rsidRPr="00202FC9">
        <w:rPr>
          <w:rFonts w:ascii="Arial" w:hAnsi="Arial" w:cs="Arial"/>
          <w:bCs/>
          <w:sz w:val="20"/>
          <w:szCs w:val="20"/>
          <w:lang w:val="es-CO"/>
        </w:rPr>
        <w:t xml:space="preserve"> con el artículo 2.31.4.</w:t>
      </w:r>
      <w:r>
        <w:rPr>
          <w:rFonts w:ascii="Arial" w:hAnsi="Arial" w:cs="Arial"/>
          <w:bCs/>
          <w:sz w:val="20"/>
          <w:szCs w:val="20"/>
          <w:lang w:val="es-CO"/>
        </w:rPr>
        <w:t>1</w:t>
      </w:r>
      <w:r w:rsidRPr="00202FC9">
        <w:rPr>
          <w:rFonts w:ascii="Arial" w:hAnsi="Arial" w:cs="Arial"/>
          <w:bCs/>
          <w:sz w:val="20"/>
          <w:szCs w:val="20"/>
          <w:lang w:val="es-CO"/>
        </w:rPr>
        <w:t>.</w:t>
      </w:r>
      <w:r>
        <w:rPr>
          <w:rFonts w:ascii="Arial" w:hAnsi="Arial" w:cs="Arial"/>
          <w:bCs/>
          <w:sz w:val="20"/>
          <w:szCs w:val="20"/>
          <w:lang w:val="es-CO"/>
        </w:rPr>
        <w:t>5</w:t>
      </w:r>
      <w:r w:rsidRPr="00202FC9">
        <w:rPr>
          <w:rFonts w:ascii="Arial" w:hAnsi="Arial" w:cs="Arial"/>
          <w:bCs/>
          <w:sz w:val="20"/>
          <w:szCs w:val="20"/>
          <w:lang w:val="es-CO"/>
        </w:rPr>
        <w:t>. del Decreto 2555 de 2010</w:t>
      </w:r>
      <w:r>
        <w:rPr>
          <w:rFonts w:ascii="Arial" w:hAnsi="Arial" w:cs="Arial"/>
          <w:bCs/>
          <w:sz w:val="20"/>
          <w:szCs w:val="20"/>
          <w:lang w:val="es-CO"/>
        </w:rPr>
        <w:t xml:space="preserve">, </w:t>
      </w:r>
      <w:r w:rsidR="00CD242A">
        <w:rPr>
          <w:rFonts w:ascii="Arial" w:hAnsi="Arial" w:cs="Arial"/>
          <w:bCs/>
          <w:sz w:val="20"/>
          <w:szCs w:val="20"/>
          <w:lang w:val="es-CO"/>
        </w:rPr>
        <w:t xml:space="preserve">para </w:t>
      </w:r>
      <w:r w:rsidR="00C37A42">
        <w:rPr>
          <w:rFonts w:ascii="Arial" w:hAnsi="Arial" w:cs="Arial"/>
          <w:bCs/>
          <w:sz w:val="20"/>
          <w:szCs w:val="20"/>
          <w:lang w:val="es-CO"/>
        </w:rPr>
        <w:t>efecto</w:t>
      </w:r>
      <w:r w:rsidR="00B14433">
        <w:rPr>
          <w:rFonts w:ascii="Arial" w:hAnsi="Arial" w:cs="Arial"/>
          <w:bCs/>
          <w:sz w:val="20"/>
          <w:szCs w:val="20"/>
          <w:lang w:val="es-CO"/>
        </w:rPr>
        <w:t>s de la estimación del ajuste por riesgo no financiero</w:t>
      </w:r>
      <w:r w:rsidR="00C37A42">
        <w:rPr>
          <w:rFonts w:ascii="Arial" w:hAnsi="Arial" w:cs="Arial"/>
          <w:bCs/>
          <w:sz w:val="20"/>
          <w:szCs w:val="20"/>
          <w:lang w:val="es-CO"/>
        </w:rPr>
        <w:t>, l</w:t>
      </w:r>
      <w:r w:rsidR="008B0769">
        <w:rPr>
          <w:rFonts w:ascii="Arial" w:hAnsi="Arial" w:cs="Arial"/>
          <w:bCs/>
          <w:sz w:val="20"/>
          <w:szCs w:val="20"/>
          <w:lang w:val="es-CO"/>
        </w:rPr>
        <w:t xml:space="preserve">as entidades deben </w:t>
      </w:r>
      <w:r w:rsidR="007536E1">
        <w:rPr>
          <w:rFonts w:ascii="Arial" w:hAnsi="Arial" w:cs="Arial"/>
          <w:bCs/>
          <w:sz w:val="20"/>
          <w:szCs w:val="20"/>
          <w:lang w:val="es-CO"/>
        </w:rPr>
        <w:t xml:space="preserve">diseñar e implementar una metodología interna </w:t>
      </w:r>
      <w:r w:rsidR="00DC607C">
        <w:rPr>
          <w:rFonts w:ascii="Arial" w:hAnsi="Arial" w:cs="Arial"/>
          <w:bCs/>
          <w:sz w:val="20"/>
          <w:szCs w:val="20"/>
          <w:lang w:val="es-CO"/>
        </w:rPr>
        <w:t xml:space="preserve">para establecer </w:t>
      </w:r>
      <w:r w:rsidR="00610299">
        <w:rPr>
          <w:rFonts w:ascii="Arial" w:hAnsi="Arial" w:cs="Arial"/>
          <w:bCs/>
          <w:sz w:val="20"/>
          <w:szCs w:val="20"/>
          <w:lang w:val="es-CO"/>
        </w:rPr>
        <w:t xml:space="preserve">los </w:t>
      </w:r>
      <w:r w:rsidR="008F7E29">
        <w:rPr>
          <w:rFonts w:ascii="Arial" w:hAnsi="Arial" w:cs="Arial"/>
          <w:bCs/>
          <w:sz w:val="20"/>
          <w:szCs w:val="20"/>
          <w:lang w:val="es-CO"/>
        </w:rPr>
        <w:t>requerimientos de capital</w:t>
      </w:r>
      <w:r w:rsidR="004E6456">
        <w:rPr>
          <w:rFonts w:ascii="Arial" w:hAnsi="Arial" w:cs="Arial"/>
          <w:bCs/>
          <w:sz w:val="20"/>
          <w:szCs w:val="20"/>
          <w:lang w:val="es-CO"/>
        </w:rPr>
        <w:t xml:space="preserve"> por riesgo de suscripción para</w:t>
      </w:r>
      <w:r w:rsidR="000D106C">
        <w:rPr>
          <w:rFonts w:ascii="Arial" w:hAnsi="Arial" w:cs="Arial"/>
          <w:bCs/>
          <w:sz w:val="20"/>
          <w:szCs w:val="20"/>
          <w:lang w:val="es-CO"/>
        </w:rPr>
        <w:t xml:space="preserve"> cada</w:t>
      </w:r>
      <w:r w:rsidR="004E6456">
        <w:rPr>
          <w:rFonts w:ascii="Arial" w:hAnsi="Arial" w:cs="Arial"/>
          <w:bCs/>
          <w:sz w:val="20"/>
          <w:szCs w:val="20"/>
          <w:lang w:val="es-CO"/>
        </w:rPr>
        <w:t xml:space="preserve"> cartera de seguros y/o reaseguros</w:t>
      </w:r>
      <w:r w:rsidR="00976325">
        <w:rPr>
          <w:rFonts w:ascii="Arial" w:hAnsi="Arial" w:cs="Arial"/>
          <w:bCs/>
          <w:sz w:val="20"/>
          <w:szCs w:val="20"/>
          <w:lang w:val="es-CO"/>
        </w:rPr>
        <w:t xml:space="preserve"> en cada periodo de cálculo</w:t>
      </w:r>
      <w:r w:rsidR="004E6456">
        <w:rPr>
          <w:rFonts w:ascii="Arial" w:hAnsi="Arial" w:cs="Arial"/>
          <w:bCs/>
          <w:sz w:val="20"/>
          <w:szCs w:val="20"/>
          <w:lang w:val="es-CO"/>
        </w:rPr>
        <w:t>.</w:t>
      </w:r>
    </w:p>
    <w:p w14:paraId="0E53023D" w14:textId="77777777" w:rsidR="005B7D17" w:rsidRDefault="005B7D17" w:rsidP="00D17D07">
      <w:pPr>
        <w:jc w:val="both"/>
        <w:rPr>
          <w:rFonts w:ascii="Arial" w:hAnsi="Arial" w:cs="Arial"/>
          <w:bCs/>
          <w:sz w:val="20"/>
          <w:szCs w:val="20"/>
          <w:lang w:val="es-CO"/>
        </w:rPr>
      </w:pPr>
    </w:p>
    <w:p w14:paraId="45A118B3" w14:textId="487D4CF3" w:rsidR="003E3C01" w:rsidRDefault="005B532A" w:rsidP="00D17D07">
      <w:pPr>
        <w:jc w:val="both"/>
        <w:rPr>
          <w:rFonts w:ascii="Arial" w:hAnsi="Arial" w:cs="Arial"/>
          <w:bCs/>
          <w:sz w:val="20"/>
          <w:szCs w:val="20"/>
          <w:lang w:val="es-CO"/>
        </w:rPr>
      </w:pPr>
      <w:r>
        <w:rPr>
          <w:rFonts w:ascii="Arial" w:hAnsi="Arial" w:cs="Arial"/>
          <w:bCs/>
          <w:sz w:val="20"/>
          <w:szCs w:val="20"/>
          <w:lang w:val="es-CO"/>
        </w:rPr>
        <w:t xml:space="preserve">La metodología </w:t>
      </w:r>
      <w:r w:rsidR="00A61A2A">
        <w:rPr>
          <w:rFonts w:ascii="Arial" w:hAnsi="Arial" w:cs="Arial"/>
          <w:bCs/>
          <w:sz w:val="20"/>
          <w:szCs w:val="20"/>
          <w:lang w:val="es-CO"/>
        </w:rPr>
        <w:t xml:space="preserve">interna debe </w:t>
      </w:r>
      <w:r w:rsidR="008314C6">
        <w:rPr>
          <w:rFonts w:ascii="Arial" w:hAnsi="Arial" w:cs="Arial"/>
          <w:bCs/>
          <w:sz w:val="20"/>
          <w:szCs w:val="20"/>
          <w:lang w:val="es-CO"/>
        </w:rPr>
        <w:t xml:space="preserve">contar con sustento técnico y con suficiente desarrollo tanto teórico como práctico, así como </w:t>
      </w:r>
      <w:r w:rsidR="00A61A2A">
        <w:rPr>
          <w:rFonts w:ascii="Arial" w:hAnsi="Arial" w:cs="Arial"/>
          <w:bCs/>
          <w:sz w:val="20"/>
          <w:szCs w:val="20"/>
          <w:lang w:val="es-CO"/>
        </w:rPr>
        <w:t xml:space="preserve">cumplir </w:t>
      </w:r>
      <w:r w:rsidR="008F7E29">
        <w:rPr>
          <w:rFonts w:ascii="Arial" w:hAnsi="Arial" w:cs="Arial"/>
          <w:bCs/>
          <w:sz w:val="20"/>
          <w:szCs w:val="20"/>
          <w:lang w:val="es-CO"/>
        </w:rPr>
        <w:t xml:space="preserve">los requisitos </w:t>
      </w:r>
      <w:r w:rsidR="004F1A46">
        <w:rPr>
          <w:rFonts w:ascii="Arial" w:hAnsi="Arial" w:cs="Arial"/>
          <w:bCs/>
          <w:sz w:val="20"/>
          <w:szCs w:val="20"/>
          <w:lang w:val="es-CO"/>
        </w:rPr>
        <w:t xml:space="preserve">señalados en los marcos técnicos de </w:t>
      </w:r>
      <w:r w:rsidR="009C0243">
        <w:rPr>
          <w:rFonts w:ascii="Arial" w:hAnsi="Arial" w:cs="Arial"/>
          <w:bCs/>
          <w:sz w:val="20"/>
          <w:szCs w:val="20"/>
          <w:lang w:val="es-CO"/>
        </w:rPr>
        <w:t xml:space="preserve">información financiera incorporados al </w:t>
      </w:r>
      <w:r w:rsidR="006F3DEE">
        <w:rPr>
          <w:rFonts w:ascii="Arial" w:hAnsi="Arial" w:cs="Arial"/>
          <w:bCs/>
          <w:sz w:val="20"/>
          <w:szCs w:val="20"/>
          <w:lang w:val="es-CO"/>
        </w:rPr>
        <w:t xml:space="preserve">anexo del </w:t>
      </w:r>
      <w:r w:rsidR="009C0243">
        <w:rPr>
          <w:rFonts w:ascii="Arial" w:hAnsi="Arial" w:cs="Arial"/>
          <w:bCs/>
          <w:sz w:val="20"/>
          <w:szCs w:val="20"/>
          <w:lang w:val="es-CO"/>
        </w:rPr>
        <w:t>Decreto 2420 de 2015</w:t>
      </w:r>
      <w:r w:rsidR="008314C6">
        <w:rPr>
          <w:rFonts w:ascii="Arial" w:hAnsi="Arial" w:cs="Arial"/>
          <w:bCs/>
          <w:sz w:val="20"/>
          <w:szCs w:val="20"/>
          <w:lang w:val="es-CO"/>
        </w:rPr>
        <w:t xml:space="preserve"> para efectos de </w:t>
      </w:r>
      <w:r w:rsidR="00F723A4">
        <w:rPr>
          <w:rFonts w:ascii="Arial" w:hAnsi="Arial" w:cs="Arial"/>
          <w:bCs/>
          <w:sz w:val="20"/>
          <w:szCs w:val="20"/>
          <w:lang w:val="es-CO"/>
        </w:rPr>
        <w:t>la compensación p</w:t>
      </w:r>
      <w:r w:rsidR="004D5726">
        <w:rPr>
          <w:rFonts w:ascii="Arial" w:hAnsi="Arial" w:cs="Arial"/>
          <w:bCs/>
          <w:sz w:val="20"/>
          <w:szCs w:val="20"/>
          <w:lang w:val="es-CO"/>
        </w:rPr>
        <w:t>or</w:t>
      </w:r>
      <w:r w:rsidR="00F723A4">
        <w:rPr>
          <w:rFonts w:ascii="Arial" w:hAnsi="Arial" w:cs="Arial"/>
          <w:bCs/>
          <w:sz w:val="20"/>
          <w:szCs w:val="20"/>
          <w:lang w:val="es-CO"/>
        </w:rPr>
        <w:t xml:space="preserve"> </w:t>
      </w:r>
      <w:r w:rsidR="00D31B92">
        <w:rPr>
          <w:rFonts w:ascii="Arial" w:hAnsi="Arial" w:cs="Arial"/>
          <w:bCs/>
          <w:sz w:val="20"/>
          <w:szCs w:val="20"/>
          <w:lang w:val="es-CO"/>
        </w:rPr>
        <w:t>soportar el riesgo no financiero</w:t>
      </w:r>
      <w:r w:rsidR="009C0243">
        <w:rPr>
          <w:rFonts w:ascii="Arial" w:hAnsi="Arial" w:cs="Arial"/>
          <w:bCs/>
          <w:sz w:val="20"/>
          <w:szCs w:val="20"/>
          <w:lang w:val="es-CO"/>
        </w:rPr>
        <w:t>.</w:t>
      </w:r>
    </w:p>
    <w:p w14:paraId="218D9CEB" w14:textId="77777777" w:rsidR="00FD6FB4" w:rsidRDefault="00FD6FB4" w:rsidP="00D17D07">
      <w:pPr>
        <w:jc w:val="both"/>
        <w:rPr>
          <w:rFonts w:ascii="Arial" w:hAnsi="Arial" w:cs="Arial"/>
          <w:bCs/>
          <w:sz w:val="20"/>
          <w:szCs w:val="20"/>
          <w:lang w:val="es-CO"/>
        </w:rPr>
      </w:pPr>
    </w:p>
    <w:p w14:paraId="7880426E" w14:textId="75190A5D" w:rsidR="00FD6FB4" w:rsidRDefault="00363B7B" w:rsidP="00D17D07">
      <w:pPr>
        <w:jc w:val="both"/>
        <w:rPr>
          <w:rFonts w:ascii="Arial" w:hAnsi="Arial" w:cs="Arial"/>
          <w:bCs/>
          <w:sz w:val="20"/>
          <w:szCs w:val="20"/>
          <w:lang w:val="es-CO"/>
        </w:rPr>
      </w:pPr>
      <w:r>
        <w:rPr>
          <w:rFonts w:ascii="Arial" w:hAnsi="Arial" w:cs="Arial"/>
          <w:bCs/>
          <w:sz w:val="20"/>
          <w:szCs w:val="20"/>
          <w:lang w:val="es-CO"/>
        </w:rPr>
        <w:t>Así mismo,</w:t>
      </w:r>
      <w:r w:rsidR="00117C48">
        <w:rPr>
          <w:rFonts w:ascii="Arial" w:hAnsi="Arial" w:cs="Arial"/>
          <w:bCs/>
          <w:sz w:val="20"/>
          <w:szCs w:val="20"/>
          <w:lang w:val="es-CO"/>
        </w:rPr>
        <w:t xml:space="preserve"> la entidad debe revisar periódicamente</w:t>
      </w:r>
      <w:r>
        <w:rPr>
          <w:rFonts w:ascii="Arial" w:hAnsi="Arial" w:cs="Arial"/>
          <w:bCs/>
          <w:sz w:val="20"/>
          <w:szCs w:val="20"/>
          <w:lang w:val="es-CO"/>
        </w:rPr>
        <w:t xml:space="preserve"> la metodología interna </w:t>
      </w:r>
      <w:r w:rsidR="00117C48">
        <w:rPr>
          <w:rFonts w:ascii="Arial" w:hAnsi="Arial" w:cs="Arial"/>
          <w:bCs/>
          <w:sz w:val="20"/>
          <w:szCs w:val="20"/>
          <w:lang w:val="es-CO"/>
        </w:rPr>
        <w:t xml:space="preserve">y llevar </w:t>
      </w:r>
      <w:r w:rsidRPr="00363B7B">
        <w:rPr>
          <w:rFonts w:ascii="Arial" w:hAnsi="Arial" w:cs="Arial"/>
          <w:bCs/>
          <w:sz w:val="20"/>
          <w:szCs w:val="20"/>
          <w:lang w:val="es-CO"/>
        </w:rPr>
        <w:t xml:space="preserve">a cabo </w:t>
      </w:r>
      <w:r w:rsidR="00117C48">
        <w:rPr>
          <w:rFonts w:ascii="Arial" w:hAnsi="Arial" w:cs="Arial"/>
          <w:bCs/>
          <w:sz w:val="20"/>
          <w:szCs w:val="20"/>
          <w:lang w:val="es-CO"/>
        </w:rPr>
        <w:t xml:space="preserve">un </w:t>
      </w:r>
      <w:r w:rsidRPr="00363B7B">
        <w:rPr>
          <w:rFonts w:ascii="Arial" w:hAnsi="Arial" w:cs="Arial"/>
          <w:bCs/>
          <w:sz w:val="20"/>
          <w:szCs w:val="20"/>
          <w:lang w:val="es-CO"/>
        </w:rPr>
        <w:t>ejercicio de evaluación de la consistencia de los resultados y la efectividad de</w:t>
      </w:r>
      <w:r w:rsidR="00117C48">
        <w:rPr>
          <w:rFonts w:ascii="Arial" w:hAnsi="Arial" w:cs="Arial"/>
          <w:bCs/>
          <w:sz w:val="20"/>
          <w:szCs w:val="20"/>
          <w:lang w:val="es-CO"/>
        </w:rPr>
        <w:t xml:space="preserve"> dicha metodología.</w:t>
      </w:r>
    </w:p>
    <w:p w14:paraId="7CB93927" w14:textId="77777777" w:rsidR="005D54C4" w:rsidRDefault="005D54C4" w:rsidP="00D17D07">
      <w:pPr>
        <w:jc w:val="both"/>
        <w:rPr>
          <w:rFonts w:ascii="Arial" w:hAnsi="Arial" w:cs="Arial"/>
          <w:b/>
          <w:sz w:val="20"/>
          <w:szCs w:val="20"/>
          <w:lang w:val="es-CO"/>
        </w:rPr>
      </w:pPr>
    </w:p>
    <w:p w14:paraId="2FA74949" w14:textId="08B472B8" w:rsidR="003E3C01" w:rsidDel="00270E98" w:rsidRDefault="003E3C01" w:rsidP="003E3C01">
      <w:pPr>
        <w:jc w:val="both"/>
        <w:rPr>
          <w:rFonts w:ascii="Arial" w:hAnsi="Arial" w:cs="Arial"/>
          <w:bCs/>
          <w:sz w:val="20"/>
          <w:szCs w:val="20"/>
          <w:lang w:val="es-CO"/>
        </w:rPr>
      </w:pPr>
      <w:r>
        <w:rPr>
          <w:rFonts w:ascii="Arial" w:hAnsi="Arial" w:cs="Arial"/>
          <w:bCs/>
          <w:sz w:val="20"/>
          <w:szCs w:val="20"/>
          <w:lang w:val="es-CO"/>
        </w:rPr>
        <w:t xml:space="preserve">Toda la documentación relacionada con la metodología interna de cálculo </w:t>
      </w:r>
      <w:r w:rsidR="00180093">
        <w:rPr>
          <w:rFonts w:ascii="Arial" w:hAnsi="Arial" w:cs="Arial"/>
          <w:bCs/>
          <w:sz w:val="20"/>
          <w:szCs w:val="20"/>
          <w:lang w:val="es-CO"/>
        </w:rPr>
        <w:t>de los requerimientos de capital por riesgo de suscripción</w:t>
      </w:r>
      <w:r>
        <w:rPr>
          <w:rFonts w:ascii="Arial" w:hAnsi="Arial" w:cs="Arial"/>
          <w:bCs/>
          <w:sz w:val="20"/>
          <w:szCs w:val="20"/>
          <w:lang w:val="es-CO"/>
        </w:rPr>
        <w:t xml:space="preserve"> </w:t>
      </w:r>
      <w:r w:rsidR="00EB34C8">
        <w:rPr>
          <w:rFonts w:ascii="Arial" w:hAnsi="Arial" w:cs="Arial"/>
          <w:bCs/>
          <w:sz w:val="20"/>
          <w:szCs w:val="20"/>
          <w:lang w:val="es-CO"/>
        </w:rPr>
        <w:t xml:space="preserve">se </w:t>
      </w:r>
      <w:r>
        <w:rPr>
          <w:rFonts w:ascii="Arial" w:hAnsi="Arial" w:cs="Arial"/>
          <w:bCs/>
          <w:sz w:val="20"/>
          <w:szCs w:val="20"/>
          <w:lang w:val="es-CO"/>
        </w:rPr>
        <w:t>debe mantener a disposición de la SFC, para su revisión en cualquier momento.</w:t>
      </w:r>
    </w:p>
    <w:p w14:paraId="1C7A317E" w14:textId="77777777" w:rsidR="00270E98" w:rsidRPr="00D17D07" w:rsidRDefault="00270E98" w:rsidP="00D17D07">
      <w:pPr>
        <w:jc w:val="both"/>
        <w:rPr>
          <w:rFonts w:ascii="Arial" w:hAnsi="Arial" w:cs="Arial"/>
          <w:b/>
          <w:sz w:val="20"/>
          <w:szCs w:val="20"/>
          <w:lang w:val="es-CO"/>
        </w:rPr>
      </w:pPr>
    </w:p>
    <w:p w14:paraId="7608A4AD" w14:textId="141032CD" w:rsidR="00EB15A7" w:rsidRDefault="00EB15A7" w:rsidP="00BE2CFC">
      <w:pPr>
        <w:pStyle w:val="Prrafodelista"/>
        <w:numPr>
          <w:ilvl w:val="0"/>
          <w:numId w:val="1"/>
        </w:numPr>
        <w:ind w:left="851" w:hanging="851"/>
        <w:jc w:val="both"/>
        <w:rPr>
          <w:rFonts w:ascii="Arial" w:hAnsi="Arial" w:cs="Arial"/>
          <w:b/>
          <w:sz w:val="20"/>
          <w:szCs w:val="20"/>
          <w:lang w:val="es-CO"/>
        </w:rPr>
      </w:pPr>
      <w:r>
        <w:rPr>
          <w:rFonts w:ascii="Arial" w:hAnsi="Arial" w:cs="Arial"/>
          <w:b/>
          <w:sz w:val="20"/>
          <w:szCs w:val="20"/>
          <w:lang w:val="es-CO"/>
        </w:rPr>
        <w:t xml:space="preserve">Reconocimiento de las reservas técnicas en la información </w:t>
      </w:r>
      <w:r w:rsidR="00F37B65">
        <w:rPr>
          <w:rFonts w:ascii="Arial" w:hAnsi="Arial" w:cs="Arial"/>
          <w:b/>
          <w:sz w:val="20"/>
          <w:szCs w:val="20"/>
          <w:lang w:val="es-CO"/>
        </w:rPr>
        <w:t>financiera</w:t>
      </w:r>
    </w:p>
    <w:p w14:paraId="2CBBBE7B" w14:textId="77777777" w:rsidR="00EB15A7" w:rsidRDefault="00EB15A7" w:rsidP="00EB15A7">
      <w:pPr>
        <w:jc w:val="both"/>
        <w:rPr>
          <w:rFonts w:ascii="Arial" w:hAnsi="Arial" w:cs="Arial"/>
          <w:b/>
          <w:sz w:val="20"/>
          <w:szCs w:val="20"/>
          <w:lang w:val="es-CO"/>
        </w:rPr>
      </w:pPr>
    </w:p>
    <w:p w14:paraId="37D8D05C" w14:textId="7CC780CF" w:rsidR="00F07BB1" w:rsidRDefault="00E70583" w:rsidP="00F07BB1">
      <w:pPr>
        <w:jc w:val="both"/>
        <w:rPr>
          <w:rFonts w:ascii="Arial" w:hAnsi="Arial" w:cs="Arial"/>
          <w:bCs/>
          <w:sz w:val="20"/>
          <w:szCs w:val="20"/>
          <w:lang w:val="es-CO"/>
        </w:rPr>
      </w:pPr>
      <w:r>
        <w:rPr>
          <w:rFonts w:ascii="Arial" w:hAnsi="Arial" w:cs="Arial"/>
          <w:bCs/>
          <w:sz w:val="20"/>
          <w:szCs w:val="20"/>
          <w:lang w:val="es-CO"/>
        </w:rPr>
        <w:t xml:space="preserve">De conformidad con lo previsto en el </w:t>
      </w:r>
      <w:r w:rsidRPr="00E70583">
        <w:rPr>
          <w:rFonts w:ascii="Arial" w:hAnsi="Arial" w:cs="Arial"/>
          <w:bCs/>
          <w:sz w:val="20"/>
          <w:szCs w:val="20"/>
          <w:lang w:val="es-CO"/>
        </w:rPr>
        <w:t xml:space="preserve">artículo 2.31.4.1.3. del Decreto </w:t>
      </w:r>
      <w:r>
        <w:rPr>
          <w:rFonts w:ascii="Arial" w:hAnsi="Arial" w:cs="Arial"/>
          <w:bCs/>
          <w:sz w:val="20"/>
          <w:szCs w:val="20"/>
          <w:lang w:val="es-CO"/>
        </w:rPr>
        <w:t>2555 de 2010, l</w:t>
      </w:r>
      <w:r w:rsidR="008820D0">
        <w:rPr>
          <w:rFonts w:ascii="Arial" w:hAnsi="Arial" w:cs="Arial"/>
          <w:bCs/>
          <w:sz w:val="20"/>
          <w:szCs w:val="20"/>
          <w:lang w:val="es-CO"/>
        </w:rPr>
        <w:t xml:space="preserve">a constitución de </w:t>
      </w:r>
      <w:r w:rsidR="005D54C4">
        <w:rPr>
          <w:rFonts w:ascii="Arial" w:hAnsi="Arial" w:cs="Arial"/>
          <w:bCs/>
          <w:sz w:val="20"/>
          <w:szCs w:val="20"/>
          <w:lang w:val="es-CO"/>
        </w:rPr>
        <w:t>l</w:t>
      </w:r>
      <w:r w:rsidR="00EB15A7">
        <w:rPr>
          <w:rFonts w:ascii="Arial" w:hAnsi="Arial" w:cs="Arial"/>
          <w:bCs/>
          <w:sz w:val="20"/>
          <w:szCs w:val="20"/>
          <w:lang w:val="es-CO"/>
        </w:rPr>
        <w:t>as reservas técnicas</w:t>
      </w:r>
      <w:r w:rsidR="008820D0">
        <w:rPr>
          <w:rFonts w:ascii="Arial" w:hAnsi="Arial" w:cs="Arial"/>
          <w:bCs/>
          <w:sz w:val="20"/>
          <w:szCs w:val="20"/>
          <w:lang w:val="es-CO"/>
        </w:rPr>
        <w:t xml:space="preserve"> señaladas en este capítulo</w:t>
      </w:r>
      <w:r w:rsidR="000013D4">
        <w:rPr>
          <w:rFonts w:ascii="Arial" w:hAnsi="Arial" w:cs="Arial"/>
          <w:bCs/>
          <w:sz w:val="20"/>
          <w:szCs w:val="20"/>
          <w:lang w:val="es-CO"/>
        </w:rPr>
        <w:t xml:space="preserve"> </w:t>
      </w:r>
      <w:r w:rsidR="00EB15A7">
        <w:rPr>
          <w:rFonts w:ascii="Arial" w:hAnsi="Arial" w:cs="Arial"/>
          <w:bCs/>
          <w:sz w:val="20"/>
          <w:szCs w:val="20"/>
          <w:lang w:val="es-CO"/>
        </w:rPr>
        <w:t xml:space="preserve">se deben reconocer </w:t>
      </w:r>
      <w:r w:rsidR="00424710">
        <w:rPr>
          <w:rFonts w:ascii="Arial" w:hAnsi="Arial" w:cs="Arial"/>
          <w:bCs/>
          <w:sz w:val="20"/>
          <w:szCs w:val="20"/>
          <w:lang w:val="es-CO"/>
        </w:rPr>
        <w:t xml:space="preserve">en la información financiera </w:t>
      </w:r>
      <w:r w:rsidR="00EB15A7">
        <w:rPr>
          <w:rFonts w:ascii="Arial" w:hAnsi="Arial" w:cs="Arial"/>
          <w:bCs/>
          <w:sz w:val="20"/>
          <w:szCs w:val="20"/>
          <w:lang w:val="es-CO"/>
        </w:rPr>
        <w:t xml:space="preserve">como </w:t>
      </w:r>
      <w:r w:rsidR="00424710">
        <w:rPr>
          <w:rFonts w:ascii="Arial" w:hAnsi="Arial" w:cs="Arial"/>
          <w:bCs/>
          <w:sz w:val="20"/>
          <w:szCs w:val="20"/>
          <w:lang w:val="es-CO"/>
        </w:rPr>
        <w:t>un pasivo</w:t>
      </w:r>
      <w:r w:rsidR="006D71E5">
        <w:rPr>
          <w:rFonts w:ascii="Arial" w:hAnsi="Arial" w:cs="Arial"/>
          <w:bCs/>
          <w:sz w:val="20"/>
          <w:szCs w:val="20"/>
          <w:lang w:val="es-CO"/>
        </w:rPr>
        <w:t xml:space="preserve"> por su valor bruto, de acuerdo con las instrucciones y lineamientos técnicos </w:t>
      </w:r>
      <w:r w:rsidR="000E1D64">
        <w:rPr>
          <w:rFonts w:ascii="Arial" w:hAnsi="Arial" w:cs="Arial"/>
          <w:bCs/>
          <w:sz w:val="20"/>
          <w:szCs w:val="20"/>
          <w:lang w:val="es-CO"/>
        </w:rPr>
        <w:t>d</w:t>
      </w:r>
      <w:r w:rsidR="006D71E5" w:rsidRPr="006D71E5">
        <w:rPr>
          <w:rFonts w:ascii="Arial" w:hAnsi="Arial" w:cs="Arial"/>
          <w:bCs/>
          <w:sz w:val="20"/>
          <w:szCs w:val="20"/>
          <w:lang w:val="es-CO"/>
        </w:rPr>
        <w:t xml:space="preserve">el capítulo XXXV de la Circular Básica Contable y Financiera </w:t>
      </w:r>
      <w:r w:rsidR="006A54C4">
        <w:rPr>
          <w:rFonts w:ascii="Arial" w:hAnsi="Arial" w:cs="Arial"/>
          <w:bCs/>
          <w:sz w:val="20"/>
          <w:szCs w:val="20"/>
          <w:lang w:val="es-CO"/>
        </w:rPr>
        <w:t xml:space="preserve">(CBCF) </w:t>
      </w:r>
      <w:r w:rsidR="006D71E5" w:rsidRPr="006D71E5">
        <w:rPr>
          <w:rFonts w:ascii="Arial" w:hAnsi="Arial" w:cs="Arial"/>
          <w:bCs/>
          <w:sz w:val="20"/>
          <w:szCs w:val="20"/>
          <w:lang w:val="es-CO"/>
        </w:rPr>
        <w:t>de la SFC.</w:t>
      </w:r>
      <w:r w:rsidR="00B56F4D">
        <w:rPr>
          <w:rFonts w:ascii="Arial" w:hAnsi="Arial" w:cs="Arial"/>
          <w:bCs/>
          <w:sz w:val="20"/>
          <w:szCs w:val="20"/>
          <w:lang w:val="es-CO"/>
        </w:rPr>
        <w:t xml:space="preserve"> En el caso particular de </w:t>
      </w:r>
      <w:r w:rsidR="00B56F4D" w:rsidRPr="000013D4">
        <w:rPr>
          <w:rFonts w:ascii="Arial" w:hAnsi="Arial" w:cs="Arial"/>
          <w:bCs/>
          <w:sz w:val="20"/>
          <w:szCs w:val="20"/>
          <w:lang w:val="es-CO"/>
        </w:rPr>
        <w:t>la reserva de riesgos catastrófico y la reserva de riesgos en curso del ramo de terremoto,</w:t>
      </w:r>
      <w:r w:rsidR="00F07BB1">
        <w:rPr>
          <w:rFonts w:ascii="Arial" w:hAnsi="Arial" w:cs="Arial"/>
          <w:bCs/>
          <w:sz w:val="20"/>
          <w:szCs w:val="20"/>
          <w:lang w:val="es-CO"/>
        </w:rPr>
        <w:t xml:space="preserve"> </w:t>
      </w:r>
      <w:r w:rsidR="00F07BB1" w:rsidRPr="00674B79">
        <w:rPr>
          <w:rFonts w:ascii="Arial" w:hAnsi="Arial" w:cs="Arial"/>
          <w:bCs/>
          <w:sz w:val="20"/>
          <w:szCs w:val="20"/>
          <w:lang w:val="es-CO"/>
        </w:rPr>
        <w:t xml:space="preserve">el cálculo de la reserva toma como base la prima pura de riesgo de la </w:t>
      </w:r>
      <w:r w:rsidR="00F07BB1" w:rsidRPr="0055439D">
        <w:rPr>
          <w:rFonts w:ascii="Arial" w:hAnsi="Arial" w:cs="Arial"/>
          <w:bCs/>
          <w:sz w:val="20"/>
          <w:szCs w:val="20"/>
          <w:lang w:val="es-CO"/>
        </w:rPr>
        <w:t>cartera retenida</w:t>
      </w:r>
      <w:r w:rsidR="00F07BB1" w:rsidRPr="00C116DC">
        <w:rPr>
          <w:rFonts w:ascii="Arial" w:hAnsi="Arial" w:cs="Arial"/>
          <w:bCs/>
          <w:sz w:val="20"/>
          <w:szCs w:val="20"/>
          <w:lang w:val="es-CO"/>
        </w:rPr>
        <w:t xml:space="preserve"> calculada de acuerdo con los parámetros del parágrafo 1 del artículo 2.31.5.1.1.</w:t>
      </w:r>
      <w:r w:rsidR="00F07BB1">
        <w:rPr>
          <w:rFonts w:ascii="Arial" w:hAnsi="Arial" w:cs="Arial"/>
          <w:bCs/>
          <w:sz w:val="20"/>
          <w:szCs w:val="20"/>
          <w:lang w:val="es-CO"/>
        </w:rPr>
        <w:t xml:space="preserve"> del Decreto 2555 de 2010</w:t>
      </w:r>
      <w:r w:rsidR="00F07BB1" w:rsidRPr="0055439D">
        <w:rPr>
          <w:rFonts w:ascii="Arial" w:hAnsi="Arial" w:cs="Arial"/>
          <w:bCs/>
          <w:sz w:val="20"/>
          <w:szCs w:val="20"/>
          <w:lang w:val="es-CO"/>
        </w:rPr>
        <w:t>,</w:t>
      </w:r>
      <w:r w:rsidR="00F07BB1">
        <w:rPr>
          <w:rFonts w:ascii="Arial" w:hAnsi="Arial" w:cs="Arial"/>
          <w:bCs/>
          <w:sz w:val="20"/>
          <w:szCs w:val="20"/>
          <w:lang w:val="es-CO"/>
        </w:rPr>
        <w:t xml:space="preserve"> que se calcula </w:t>
      </w:r>
      <w:r w:rsidR="00F07BB1" w:rsidRPr="00C82126">
        <w:rPr>
          <w:rFonts w:ascii="Arial" w:hAnsi="Arial" w:cs="Arial"/>
          <w:bCs/>
          <w:sz w:val="20"/>
          <w:szCs w:val="20"/>
        </w:rPr>
        <w:t>una vez descontados los contratos de reaseguros proporcionales y no proporcionales, la proporción de coaseguro a cargo de otras entidades aseguradoras y el efecto de los deducibles</w:t>
      </w:r>
      <w:r w:rsidR="00F07BB1">
        <w:rPr>
          <w:rFonts w:ascii="Arial" w:hAnsi="Arial" w:cs="Arial"/>
          <w:bCs/>
          <w:sz w:val="20"/>
          <w:szCs w:val="20"/>
        </w:rPr>
        <w:t xml:space="preserve">, de conformidad con </w:t>
      </w:r>
      <w:r w:rsidR="00EB34C8">
        <w:rPr>
          <w:rFonts w:ascii="Arial" w:hAnsi="Arial" w:cs="Arial"/>
          <w:bCs/>
          <w:sz w:val="20"/>
          <w:szCs w:val="20"/>
        </w:rPr>
        <w:t xml:space="preserve">lo dispuesto en </w:t>
      </w:r>
      <w:r w:rsidR="00F07BB1">
        <w:rPr>
          <w:rFonts w:ascii="Arial" w:hAnsi="Arial" w:cs="Arial"/>
          <w:bCs/>
          <w:sz w:val="20"/>
          <w:szCs w:val="20"/>
        </w:rPr>
        <w:t>el artículo 2.31.5.1.1. del Decreto 2555 de 2010.</w:t>
      </w:r>
    </w:p>
    <w:p w14:paraId="7CCCB148" w14:textId="77777777" w:rsidR="00BF33CD" w:rsidRDefault="00BF33CD" w:rsidP="00854005">
      <w:pPr>
        <w:jc w:val="both"/>
        <w:rPr>
          <w:rFonts w:ascii="Arial" w:hAnsi="Arial" w:cs="Arial"/>
          <w:b/>
          <w:sz w:val="20"/>
          <w:szCs w:val="20"/>
          <w:lang w:val="es-CO"/>
        </w:rPr>
      </w:pPr>
    </w:p>
    <w:p w14:paraId="05DBCA6C" w14:textId="3380E625" w:rsidR="00787DFE" w:rsidRDefault="000A7C67" w:rsidP="00BE2CFC">
      <w:pPr>
        <w:pStyle w:val="Prrafodelista"/>
        <w:numPr>
          <w:ilvl w:val="0"/>
          <w:numId w:val="1"/>
        </w:numPr>
        <w:ind w:left="851" w:hanging="851"/>
        <w:jc w:val="both"/>
        <w:rPr>
          <w:rFonts w:ascii="Arial" w:hAnsi="Arial" w:cs="Arial"/>
          <w:b/>
          <w:sz w:val="20"/>
          <w:szCs w:val="20"/>
          <w:lang w:val="es-CO"/>
        </w:rPr>
      </w:pPr>
      <w:r>
        <w:rPr>
          <w:rFonts w:ascii="Arial" w:hAnsi="Arial" w:cs="Arial"/>
          <w:b/>
          <w:sz w:val="20"/>
          <w:szCs w:val="20"/>
          <w:lang w:val="es-CO"/>
        </w:rPr>
        <w:t xml:space="preserve">Régimen de </w:t>
      </w:r>
      <w:r w:rsidR="006F0080">
        <w:rPr>
          <w:rFonts w:ascii="Arial" w:hAnsi="Arial" w:cs="Arial"/>
          <w:b/>
          <w:sz w:val="20"/>
          <w:szCs w:val="20"/>
          <w:lang w:val="es-CO"/>
        </w:rPr>
        <w:t xml:space="preserve">las </w:t>
      </w:r>
      <w:r>
        <w:rPr>
          <w:rFonts w:ascii="Arial" w:hAnsi="Arial" w:cs="Arial"/>
          <w:b/>
          <w:sz w:val="20"/>
          <w:szCs w:val="20"/>
          <w:lang w:val="es-CO"/>
        </w:rPr>
        <w:t>r</w:t>
      </w:r>
      <w:r w:rsidR="00C90C00" w:rsidRPr="000A7C67">
        <w:rPr>
          <w:rFonts w:ascii="Arial" w:hAnsi="Arial" w:cs="Arial"/>
          <w:b/>
          <w:sz w:val="20"/>
          <w:szCs w:val="20"/>
          <w:lang w:val="es-CO"/>
        </w:rPr>
        <w:t>eservas técnicas</w:t>
      </w:r>
    </w:p>
    <w:p w14:paraId="29F74335" w14:textId="77777777" w:rsidR="000A7C67" w:rsidRPr="000A7C67" w:rsidRDefault="000A7C67" w:rsidP="00854005">
      <w:pPr>
        <w:jc w:val="both"/>
        <w:rPr>
          <w:rFonts w:ascii="Arial" w:hAnsi="Arial" w:cs="Arial"/>
          <w:bCs/>
          <w:sz w:val="20"/>
          <w:szCs w:val="20"/>
          <w:lang w:val="es-CO"/>
        </w:rPr>
      </w:pPr>
    </w:p>
    <w:p w14:paraId="437514F9" w14:textId="09A20A23" w:rsidR="00C90C00" w:rsidRPr="00954DF5" w:rsidRDefault="007B0EF2" w:rsidP="00C90C00">
      <w:pPr>
        <w:jc w:val="both"/>
        <w:rPr>
          <w:rFonts w:ascii="Arial" w:hAnsi="Arial" w:cs="Arial"/>
          <w:sz w:val="20"/>
          <w:szCs w:val="20"/>
          <w:lang w:val="es-CO"/>
        </w:rPr>
      </w:pPr>
      <w:r>
        <w:rPr>
          <w:rFonts w:ascii="Arial" w:hAnsi="Arial" w:cs="Arial"/>
          <w:bCs/>
          <w:sz w:val="20"/>
          <w:szCs w:val="20"/>
          <w:lang w:val="es-CO"/>
        </w:rPr>
        <w:t>En desarrollo de lo previsto en el</w:t>
      </w:r>
      <w:r w:rsidR="000A7C67" w:rsidRPr="000A7C67">
        <w:rPr>
          <w:rFonts w:ascii="Arial" w:hAnsi="Arial" w:cs="Arial"/>
          <w:bCs/>
          <w:sz w:val="20"/>
          <w:szCs w:val="20"/>
          <w:lang w:val="es-CO"/>
        </w:rPr>
        <w:t xml:space="preserve"> artículo 186 del EOSF</w:t>
      </w:r>
      <w:r w:rsidR="000A20AC">
        <w:rPr>
          <w:rFonts w:ascii="Arial" w:hAnsi="Arial" w:cs="Arial"/>
          <w:bCs/>
          <w:sz w:val="20"/>
          <w:szCs w:val="20"/>
          <w:lang w:val="es-CO"/>
        </w:rPr>
        <w:t xml:space="preserve">, y teniendo en cuenta el régimen de reservas establecido en el </w:t>
      </w:r>
      <w:r w:rsidR="000A7C67" w:rsidRPr="000A7C67">
        <w:rPr>
          <w:rFonts w:ascii="Arial" w:hAnsi="Arial" w:cs="Arial"/>
          <w:bCs/>
          <w:sz w:val="20"/>
          <w:szCs w:val="20"/>
          <w:lang w:val="es-CO"/>
        </w:rPr>
        <w:t>Decreto 2555 de 2010, modificado por el Decreto 1272 de 2024</w:t>
      </w:r>
      <w:r w:rsidR="00C658C5">
        <w:rPr>
          <w:rFonts w:ascii="Arial" w:hAnsi="Arial" w:cs="Arial"/>
          <w:bCs/>
          <w:sz w:val="20"/>
          <w:szCs w:val="20"/>
          <w:lang w:val="es-CO"/>
        </w:rPr>
        <w:t>, las entidades aseguradoras</w:t>
      </w:r>
      <w:r w:rsidR="004C2620">
        <w:rPr>
          <w:rFonts w:ascii="Arial" w:hAnsi="Arial" w:cs="Arial"/>
          <w:bCs/>
          <w:sz w:val="20"/>
          <w:szCs w:val="20"/>
          <w:lang w:val="es-CO"/>
        </w:rPr>
        <w:t xml:space="preserve"> y reaseguradoras</w:t>
      </w:r>
      <w:r w:rsidR="00C658C5">
        <w:rPr>
          <w:rFonts w:ascii="Arial" w:hAnsi="Arial" w:cs="Arial"/>
          <w:bCs/>
          <w:sz w:val="20"/>
          <w:szCs w:val="20"/>
          <w:lang w:val="es-CO"/>
        </w:rPr>
        <w:t xml:space="preserve"> de</w:t>
      </w:r>
      <w:r w:rsidR="006F0080">
        <w:rPr>
          <w:rFonts w:ascii="Arial" w:hAnsi="Arial" w:cs="Arial"/>
          <w:bCs/>
          <w:sz w:val="20"/>
          <w:szCs w:val="20"/>
          <w:lang w:val="es-CO"/>
        </w:rPr>
        <w:t>ben</w:t>
      </w:r>
      <w:r w:rsidR="00C658C5">
        <w:rPr>
          <w:rFonts w:ascii="Arial" w:hAnsi="Arial" w:cs="Arial"/>
          <w:bCs/>
          <w:sz w:val="20"/>
          <w:szCs w:val="20"/>
          <w:lang w:val="es-CO"/>
        </w:rPr>
        <w:t xml:space="preserve"> calcular sus reservas técnicas de acuerdo con las siguientes instrucciones:</w:t>
      </w:r>
    </w:p>
    <w:p w14:paraId="37DFFE6D" w14:textId="77777777" w:rsidR="00C313FD" w:rsidRDefault="00C313FD" w:rsidP="00C90C00">
      <w:pPr>
        <w:jc w:val="both"/>
        <w:rPr>
          <w:rFonts w:ascii="Arial" w:hAnsi="Arial" w:cs="Arial"/>
          <w:b/>
          <w:sz w:val="20"/>
          <w:szCs w:val="20"/>
          <w:lang w:val="es-CO"/>
        </w:rPr>
      </w:pPr>
    </w:p>
    <w:p w14:paraId="4D205A7C" w14:textId="77777777" w:rsidR="00BF33CD" w:rsidRDefault="00BF33CD" w:rsidP="00C90C00">
      <w:pPr>
        <w:jc w:val="both"/>
        <w:rPr>
          <w:rFonts w:ascii="Arial" w:hAnsi="Arial" w:cs="Arial"/>
          <w:b/>
          <w:sz w:val="20"/>
          <w:szCs w:val="20"/>
          <w:lang w:val="es-CO"/>
        </w:rPr>
      </w:pPr>
    </w:p>
    <w:p w14:paraId="36E614B7" w14:textId="77777777" w:rsidR="00BF33CD" w:rsidRDefault="00BF33CD" w:rsidP="00C90C00">
      <w:pPr>
        <w:jc w:val="both"/>
        <w:rPr>
          <w:rFonts w:ascii="Arial" w:hAnsi="Arial" w:cs="Arial"/>
          <w:b/>
          <w:sz w:val="20"/>
          <w:szCs w:val="20"/>
          <w:lang w:val="es-CO"/>
        </w:rPr>
      </w:pPr>
    </w:p>
    <w:p w14:paraId="556E8A22" w14:textId="77777777" w:rsidR="00BF33CD" w:rsidRDefault="00BF33CD" w:rsidP="00C90C00">
      <w:pPr>
        <w:jc w:val="both"/>
        <w:rPr>
          <w:rFonts w:ascii="Arial" w:hAnsi="Arial" w:cs="Arial"/>
          <w:b/>
          <w:sz w:val="20"/>
          <w:szCs w:val="20"/>
          <w:lang w:val="es-CO"/>
        </w:rPr>
      </w:pPr>
    </w:p>
    <w:p w14:paraId="43284B55" w14:textId="77777777" w:rsidR="00BF33CD" w:rsidRPr="00C90C00" w:rsidRDefault="00BF33CD" w:rsidP="00C90C00">
      <w:pPr>
        <w:jc w:val="both"/>
        <w:rPr>
          <w:rFonts w:ascii="Arial" w:hAnsi="Arial" w:cs="Arial"/>
          <w:b/>
          <w:sz w:val="20"/>
          <w:szCs w:val="20"/>
          <w:lang w:val="es-CO"/>
        </w:rPr>
      </w:pPr>
    </w:p>
    <w:p w14:paraId="596DD111" w14:textId="7D07CDCB" w:rsidR="00C90C00" w:rsidRDefault="00C90C00" w:rsidP="00BE2CFC">
      <w:pPr>
        <w:pStyle w:val="Prrafodelista"/>
        <w:numPr>
          <w:ilvl w:val="1"/>
          <w:numId w:val="1"/>
        </w:numPr>
        <w:ind w:left="851" w:hanging="851"/>
        <w:jc w:val="both"/>
        <w:rPr>
          <w:rFonts w:ascii="Arial" w:hAnsi="Arial" w:cs="Arial"/>
          <w:b/>
          <w:sz w:val="20"/>
          <w:szCs w:val="20"/>
          <w:lang w:val="es-CO"/>
        </w:rPr>
      </w:pPr>
      <w:r w:rsidRPr="00B15A88">
        <w:rPr>
          <w:rFonts w:ascii="Arial" w:hAnsi="Arial" w:cs="Arial"/>
          <w:b/>
          <w:sz w:val="20"/>
          <w:szCs w:val="20"/>
          <w:lang w:val="es-CO"/>
        </w:rPr>
        <w:lastRenderedPageBreak/>
        <w:t xml:space="preserve">Reserva de </w:t>
      </w:r>
      <w:r w:rsidR="003D1FCD" w:rsidRPr="00B15A88">
        <w:rPr>
          <w:rFonts w:ascii="Arial" w:hAnsi="Arial" w:cs="Arial"/>
          <w:b/>
          <w:sz w:val="20"/>
          <w:szCs w:val="20"/>
          <w:lang w:val="es-CO"/>
        </w:rPr>
        <w:t>r</w:t>
      </w:r>
      <w:r w:rsidRPr="00B15A88">
        <w:rPr>
          <w:rFonts w:ascii="Arial" w:hAnsi="Arial" w:cs="Arial"/>
          <w:b/>
          <w:sz w:val="20"/>
          <w:szCs w:val="20"/>
          <w:lang w:val="es-CO"/>
        </w:rPr>
        <w:t xml:space="preserve">iesgos en </w:t>
      </w:r>
      <w:r w:rsidR="003D1FCD" w:rsidRPr="00B15A88">
        <w:rPr>
          <w:rFonts w:ascii="Arial" w:hAnsi="Arial" w:cs="Arial"/>
          <w:b/>
          <w:sz w:val="20"/>
          <w:szCs w:val="20"/>
          <w:lang w:val="es-CO"/>
        </w:rPr>
        <w:t>c</w:t>
      </w:r>
      <w:r w:rsidRPr="00B15A88">
        <w:rPr>
          <w:rFonts w:ascii="Arial" w:hAnsi="Arial" w:cs="Arial"/>
          <w:b/>
          <w:sz w:val="20"/>
          <w:szCs w:val="20"/>
          <w:lang w:val="es-CO"/>
        </w:rPr>
        <w:t>urso</w:t>
      </w:r>
    </w:p>
    <w:p w14:paraId="39311A1E" w14:textId="77777777" w:rsidR="00E268B0" w:rsidRDefault="00E268B0" w:rsidP="00E268B0">
      <w:pPr>
        <w:jc w:val="both"/>
        <w:rPr>
          <w:rFonts w:ascii="Arial" w:hAnsi="Arial" w:cs="Arial"/>
          <w:b/>
          <w:sz w:val="20"/>
          <w:szCs w:val="20"/>
          <w:lang w:val="es-CO"/>
        </w:rPr>
      </w:pPr>
    </w:p>
    <w:p w14:paraId="5342438B" w14:textId="174C91C8" w:rsidR="00F0250C" w:rsidRDefault="00D8436F" w:rsidP="00E268B0">
      <w:pPr>
        <w:jc w:val="both"/>
        <w:rPr>
          <w:rFonts w:ascii="Arial" w:hAnsi="Arial" w:cs="Arial"/>
          <w:bCs/>
          <w:sz w:val="20"/>
          <w:szCs w:val="20"/>
          <w:lang w:val="es-CO"/>
        </w:rPr>
      </w:pPr>
      <w:r>
        <w:rPr>
          <w:rFonts w:ascii="Arial" w:hAnsi="Arial" w:cs="Arial"/>
          <w:bCs/>
          <w:sz w:val="20"/>
          <w:szCs w:val="20"/>
          <w:lang w:val="es-CO"/>
        </w:rPr>
        <w:t>D</w:t>
      </w:r>
      <w:r w:rsidRPr="00202FC9">
        <w:rPr>
          <w:rFonts w:ascii="Arial" w:hAnsi="Arial" w:cs="Arial"/>
          <w:bCs/>
          <w:sz w:val="20"/>
          <w:szCs w:val="20"/>
          <w:lang w:val="es-CO"/>
        </w:rPr>
        <w:t xml:space="preserve">e </w:t>
      </w:r>
      <w:r>
        <w:rPr>
          <w:rFonts w:ascii="Arial" w:hAnsi="Arial" w:cs="Arial"/>
          <w:bCs/>
          <w:sz w:val="20"/>
          <w:szCs w:val="20"/>
          <w:lang w:val="es-CO"/>
        </w:rPr>
        <w:t xml:space="preserve">conformidad </w:t>
      </w:r>
      <w:r w:rsidRPr="00202FC9">
        <w:rPr>
          <w:rFonts w:ascii="Arial" w:hAnsi="Arial" w:cs="Arial"/>
          <w:bCs/>
          <w:sz w:val="20"/>
          <w:szCs w:val="20"/>
          <w:lang w:val="es-CO"/>
        </w:rPr>
        <w:t>con el artículo 2.31.4.</w:t>
      </w:r>
      <w:r w:rsidR="006C0270">
        <w:rPr>
          <w:rFonts w:ascii="Arial" w:hAnsi="Arial" w:cs="Arial"/>
          <w:bCs/>
          <w:sz w:val="20"/>
          <w:szCs w:val="20"/>
          <w:lang w:val="es-CO"/>
        </w:rPr>
        <w:t>2</w:t>
      </w:r>
      <w:r w:rsidRPr="00202FC9">
        <w:rPr>
          <w:rFonts w:ascii="Arial" w:hAnsi="Arial" w:cs="Arial"/>
          <w:bCs/>
          <w:sz w:val="20"/>
          <w:szCs w:val="20"/>
          <w:lang w:val="es-CO"/>
        </w:rPr>
        <w:t>.</w:t>
      </w:r>
      <w:r w:rsidR="006C0270">
        <w:rPr>
          <w:rFonts w:ascii="Arial" w:hAnsi="Arial" w:cs="Arial"/>
          <w:bCs/>
          <w:sz w:val="20"/>
          <w:szCs w:val="20"/>
          <w:lang w:val="es-CO"/>
        </w:rPr>
        <w:t>2</w:t>
      </w:r>
      <w:r w:rsidRPr="00202FC9">
        <w:rPr>
          <w:rFonts w:ascii="Arial" w:hAnsi="Arial" w:cs="Arial"/>
          <w:bCs/>
          <w:sz w:val="20"/>
          <w:szCs w:val="20"/>
          <w:lang w:val="es-CO"/>
        </w:rPr>
        <w:t>. del Decreto 2555 de 2010</w:t>
      </w:r>
      <w:r w:rsidR="006C0270">
        <w:rPr>
          <w:rFonts w:ascii="Arial" w:hAnsi="Arial" w:cs="Arial"/>
          <w:bCs/>
          <w:sz w:val="20"/>
          <w:szCs w:val="20"/>
          <w:lang w:val="es-CO"/>
        </w:rPr>
        <w:t>, l</w:t>
      </w:r>
      <w:r w:rsidR="005C770D">
        <w:rPr>
          <w:rFonts w:ascii="Arial" w:hAnsi="Arial" w:cs="Arial"/>
          <w:bCs/>
          <w:sz w:val="20"/>
          <w:szCs w:val="20"/>
          <w:lang w:val="es-CO"/>
        </w:rPr>
        <w:t xml:space="preserve">a </w:t>
      </w:r>
      <w:r w:rsidR="00506F20">
        <w:rPr>
          <w:rFonts w:ascii="Arial" w:hAnsi="Arial" w:cs="Arial"/>
          <w:bCs/>
          <w:sz w:val="20"/>
          <w:szCs w:val="20"/>
          <w:lang w:val="es-CO"/>
        </w:rPr>
        <w:t xml:space="preserve">metodología </w:t>
      </w:r>
      <w:r w:rsidR="00965616">
        <w:rPr>
          <w:rFonts w:ascii="Arial" w:hAnsi="Arial" w:cs="Arial"/>
          <w:bCs/>
          <w:sz w:val="20"/>
          <w:szCs w:val="20"/>
          <w:lang w:val="es-CO"/>
        </w:rPr>
        <w:t xml:space="preserve">de cálculo </w:t>
      </w:r>
      <w:r w:rsidR="002179C1">
        <w:rPr>
          <w:rFonts w:ascii="Arial" w:hAnsi="Arial" w:cs="Arial"/>
          <w:bCs/>
          <w:sz w:val="20"/>
          <w:szCs w:val="20"/>
          <w:lang w:val="es-CO"/>
        </w:rPr>
        <w:t>de</w:t>
      </w:r>
      <w:r w:rsidR="00A81316">
        <w:rPr>
          <w:rFonts w:ascii="Arial" w:hAnsi="Arial" w:cs="Arial"/>
          <w:bCs/>
          <w:sz w:val="20"/>
          <w:szCs w:val="20"/>
          <w:lang w:val="es-CO"/>
        </w:rPr>
        <w:t xml:space="preserve"> la </w:t>
      </w:r>
      <w:r w:rsidR="005C770D">
        <w:rPr>
          <w:rFonts w:ascii="Arial" w:hAnsi="Arial" w:cs="Arial"/>
          <w:bCs/>
          <w:sz w:val="20"/>
          <w:szCs w:val="20"/>
          <w:lang w:val="es-CO"/>
        </w:rPr>
        <w:t xml:space="preserve">reserva de riesgos en curso </w:t>
      </w:r>
      <w:r w:rsidR="00A81316">
        <w:rPr>
          <w:rFonts w:ascii="Arial" w:hAnsi="Arial" w:cs="Arial"/>
          <w:bCs/>
          <w:sz w:val="20"/>
          <w:szCs w:val="20"/>
          <w:lang w:val="es-CO"/>
        </w:rPr>
        <w:t xml:space="preserve">depende </w:t>
      </w:r>
      <w:r w:rsidR="006A54C4">
        <w:rPr>
          <w:rFonts w:ascii="Arial" w:hAnsi="Arial" w:cs="Arial"/>
          <w:bCs/>
          <w:sz w:val="20"/>
          <w:szCs w:val="20"/>
          <w:lang w:val="es-CO"/>
        </w:rPr>
        <w:t xml:space="preserve">del enfoque aplicado para su </w:t>
      </w:r>
      <w:r w:rsidR="00C81800">
        <w:rPr>
          <w:rFonts w:ascii="Arial" w:hAnsi="Arial" w:cs="Arial"/>
          <w:bCs/>
          <w:sz w:val="20"/>
          <w:szCs w:val="20"/>
          <w:lang w:val="es-CO"/>
        </w:rPr>
        <w:t>valoración</w:t>
      </w:r>
      <w:r w:rsidR="006A54C4">
        <w:rPr>
          <w:rFonts w:ascii="Arial" w:hAnsi="Arial" w:cs="Arial"/>
          <w:bCs/>
          <w:sz w:val="20"/>
          <w:szCs w:val="20"/>
          <w:lang w:val="es-CO"/>
        </w:rPr>
        <w:t xml:space="preserve"> contable en los términos d</w:t>
      </w:r>
      <w:r w:rsidR="006A54C4" w:rsidRPr="006D71E5">
        <w:rPr>
          <w:rFonts w:ascii="Arial" w:hAnsi="Arial" w:cs="Arial"/>
          <w:bCs/>
          <w:sz w:val="20"/>
          <w:szCs w:val="20"/>
          <w:lang w:val="es-CO"/>
        </w:rPr>
        <w:t>el</w:t>
      </w:r>
      <w:r w:rsidR="006D343C">
        <w:rPr>
          <w:rFonts w:ascii="Arial" w:hAnsi="Arial" w:cs="Arial"/>
          <w:bCs/>
          <w:sz w:val="20"/>
          <w:szCs w:val="20"/>
          <w:lang w:val="es-CO"/>
        </w:rPr>
        <w:t xml:space="preserve"> numeral </w:t>
      </w:r>
      <w:r w:rsidR="00F24DA9">
        <w:rPr>
          <w:rFonts w:ascii="Arial" w:hAnsi="Arial" w:cs="Arial"/>
          <w:bCs/>
          <w:sz w:val="20"/>
          <w:szCs w:val="20"/>
          <w:lang w:val="es-CO"/>
        </w:rPr>
        <w:t>5</w:t>
      </w:r>
      <w:r w:rsidR="006D343C">
        <w:rPr>
          <w:rFonts w:ascii="Arial" w:hAnsi="Arial" w:cs="Arial"/>
          <w:bCs/>
          <w:sz w:val="20"/>
          <w:szCs w:val="20"/>
          <w:lang w:val="es-CO"/>
        </w:rPr>
        <w:t xml:space="preserve"> del</w:t>
      </w:r>
      <w:r w:rsidR="006A54C4" w:rsidRPr="006D71E5">
        <w:rPr>
          <w:rFonts w:ascii="Arial" w:hAnsi="Arial" w:cs="Arial"/>
          <w:bCs/>
          <w:sz w:val="20"/>
          <w:szCs w:val="20"/>
          <w:lang w:val="es-CO"/>
        </w:rPr>
        <w:t xml:space="preserve"> capítulo XXXV de la</w:t>
      </w:r>
      <w:r w:rsidR="006A54C4">
        <w:rPr>
          <w:rFonts w:ascii="Arial" w:hAnsi="Arial" w:cs="Arial"/>
          <w:bCs/>
          <w:sz w:val="20"/>
          <w:szCs w:val="20"/>
          <w:lang w:val="es-CO"/>
        </w:rPr>
        <w:t xml:space="preserve"> CBCF</w:t>
      </w:r>
      <w:r w:rsidR="00F0250C">
        <w:rPr>
          <w:rFonts w:ascii="Arial" w:hAnsi="Arial" w:cs="Arial"/>
          <w:bCs/>
          <w:sz w:val="20"/>
          <w:szCs w:val="20"/>
          <w:lang w:val="es-CO"/>
        </w:rPr>
        <w:t>.</w:t>
      </w:r>
    </w:p>
    <w:p w14:paraId="22CD5BCD" w14:textId="77777777" w:rsidR="00F1551B" w:rsidRDefault="00F1551B" w:rsidP="00E268B0">
      <w:pPr>
        <w:jc w:val="both"/>
        <w:rPr>
          <w:rFonts w:ascii="Arial" w:hAnsi="Arial" w:cs="Arial"/>
          <w:bCs/>
          <w:sz w:val="20"/>
          <w:szCs w:val="20"/>
          <w:lang w:val="es-CO"/>
        </w:rPr>
      </w:pPr>
    </w:p>
    <w:p w14:paraId="58D44870" w14:textId="723F9ACB" w:rsidR="00F0250C" w:rsidRDefault="00D32C4E" w:rsidP="00E268B0">
      <w:pPr>
        <w:jc w:val="both"/>
        <w:rPr>
          <w:rFonts w:ascii="Arial" w:hAnsi="Arial" w:cs="Arial"/>
          <w:bCs/>
          <w:sz w:val="20"/>
          <w:szCs w:val="20"/>
          <w:lang w:val="es-CO"/>
        </w:rPr>
      </w:pPr>
      <w:r>
        <w:rPr>
          <w:rFonts w:ascii="Arial" w:hAnsi="Arial" w:cs="Arial"/>
          <w:bCs/>
          <w:sz w:val="20"/>
          <w:szCs w:val="20"/>
          <w:lang w:val="es-CO"/>
        </w:rPr>
        <w:t>En todo caso, b</w:t>
      </w:r>
      <w:r w:rsidR="00F0250C">
        <w:rPr>
          <w:rFonts w:ascii="Arial" w:hAnsi="Arial" w:cs="Arial"/>
          <w:bCs/>
          <w:sz w:val="20"/>
          <w:szCs w:val="20"/>
          <w:lang w:val="es-CO"/>
        </w:rPr>
        <w:t>ajo cualquiera de los enfoques</w:t>
      </w:r>
      <w:r>
        <w:rPr>
          <w:rFonts w:ascii="Arial" w:hAnsi="Arial" w:cs="Arial"/>
          <w:bCs/>
          <w:sz w:val="20"/>
          <w:szCs w:val="20"/>
          <w:lang w:val="es-CO"/>
        </w:rPr>
        <w:t xml:space="preserve"> de </w:t>
      </w:r>
      <w:r w:rsidR="00F1551B">
        <w:rPr>
          <w:rFonts w:ascii="Arial" w:hAnsi="Arial" w:cs="Arial"/>
          <w:bCs/>
          <w:sz w:val="20"/>
          <w:szCs w:val="20"/>
          <w:lang w:val="es-CO"/>
        </w:rPr>
        <w:t>medición</w:t>
      </w:r>
      <w:r w:rsidR="00F0250C">
        <w:rPr>
          <w:rFonts w:ascii="Arial" w:hAnsi="Arial" w:cs="Arial"/>
          <w:bCs/>
          <w:sz w:val="20"/>
          <w:szCs w:val="20"/>
          <w:lang w:val="es-CO"/>
        </w:rPr>
        <w:t xml:space="preserve">, la reserva de riesgos en curso </w:t>
      </w:r>
      <w:r w:rsidR="00EB34C8">
        <w:rPr>
          <w:rFonts w:ascii="Arial" w:hAnsi="Arial" w:cs="Arial"/>
          <w:bCs/>
          <w:sz w:val="20"/>
          <w:szCs w:val="20"/>
          <w:lang w:val="es-CO"/>
        </w:rPr>
        <w:t xml:space="preserve">se </w:t>
      </w:r>
      <w:r w:rsidR="00F0250C">
        <w:rPr>
          <w:rFonts w:ascii="Arial" w:hAnsi="Arial" w:cs="Arial"/>
          <w:bCs/>
          <w:sz w:val="20"/>
          <w:szCs w:val="20"/>
          <w:lang w:val="es-CO"/>
        </w:rPr>
        <w:t>debe estimar de forma desagregada a nivel de póliza, amparo y riesgo asegurado, y debe contemplar todas las pólizas o amparos que sean de vigencia indeterminada al momento de su celebración</w:t>
      </w:r>
      <w:r w:rsidR="00980440">
        <w:rPr>
          <w:rFonts w:ascii="Arial" w:hAnsi="Arial" w:cs="Arial"/>
          <w:bCs/>
          <w:sz w:val="20"/>
          <w:szCs w:val="20"/>
          <w:lang w:val="es-CO"/>
        </w:rPr>
        <w:t>. E</w:t>
      </w:r>
      <w:r w:rsidR="005A42C1">
        <w:rPr>
          <w:rFonts w:ascii="Arial" w:hAnsi="Arial" w:cs="Arial"/>
          <w:bCs/>
          <w:sz w:val="20"/>
          <w:szCs w:val="20"/>
          <w:lang w:val="es-CO"/>
        </w:rPr>
        <w:t>n este último caso</w:t>
      </w:r>
      <w:r w:rsidR="00E81574">
        <w:rPr>
          <w:rFonts w:ascii="Arial" w:hAnsi="Arial" w:cs="Arial"/>
          <w:bCs/>
          <w:sz w:val="20"/>
          <w:szCs w:val="20"/>
          <w:lang w:val="es-CO"/>
        </w:rPr>
        <w:t>, la entidad</w:t>
      </w:r>
      <w:r w:rsidR="00721196">
        <w:rPr>
          <w:rFonts w:ascii="Arial" w:hAnsi="Arial" w:cs="Arial"/>
          <w:bCs/>
          <w:sz w:val="20"/>
          <w:szCs w:val="20"/>
          <w:lang w:val="es-CO"/>
        </w:rPr>
        <w:t xml:space="preserve"> </w:t>
      </w:r>
      <w:r w:rsidR="00DC6EE5">
        <w:rPr>
          <w:rFonts w:ascii="Arial" w:hAnsi="Arial" w:cs="Arial"/>
          <w:bCs/>
          <w:sz w:val="20"/>
          <w:szCs w:val="20"/>
          <w:lang w:val="es-CO"/>
        </w:rPr>
        <w:t>debe</w:t>
      </w:r>
      <w:r w:rsidR="00721196">
        <w:rPr>
          <w:rFonts w:ascii="Arial" w:hAnsi="Arial" w:cs="Arial"/>
          <w:bCs/>
          <w:sz w:val="20"/>
          <w:szCs w:val="20"/>
          <w:lang w:val="es-CO"/>
        </w:rPr>
        <w:t xml:space="preserve"> contar con una metodología que </w:t>
      </w:r>
      <w:r w:rsidR="001C03CB" w:rsidRPr="001C03CB">
        <w:rPr>
          <w:rFonts w:ascii="Arial" w:hAnsi="Arial" w:cs="Arial"/>
          <w:bCs/>
          <w:sz w:val="20"/>
          <w:szCs w:val="20"/>
          <w:lang w:val="es-CO"/>
        </w:rPr>
        <w:t>permita estimar la fecha de fin de vigencia</w:t>
      </w:r>
      <w:r w:rsidR="007D02E1">
        <w:rPr>
          <w:rFonts w:ascii="Arial" w:hAnsi="Arial" w:cs="Arial"/>
          <w:bCs/>
          <w:sz w:val="20"/>
          <w:szCs w:val="20"/>
          <w:lang w:val="es-CO"/>
        </w:rPr>
        <w:t xml:space="preserve">, la cual </w:t>
      </w:r>
      <w:r w:rsidR="00EB34C8">
        <w:rPr>
          <w:rFonts w:ascii="Arial" w:hAnsi="Arial" w:cs="Arial"/>
          <w:bCs/>
          <w:sz w:val="20"/>
          <w:szCs w:val="20"/>
          <w:lang w:val="es-CO"/>
        </w:rPr>
        <w:t xml:space="preserve">se </w:t>
      </w:r>
      <w:r w:rsidR="007D02E1">
        <w:rPr>
          <w:rFonts w:ascii="Arial" w:hAnsi="Arial" w:cs="Arial"/>
          <w:bCs/>
          <w:sz w:val="20"/>
          <w:szCs w:val="20"/>
          <w:lang w:val="es-CO"/>
        </w:rPr>
        <w:t xml:space="preserve">debe </w:t>
      </w:r>
      <w:r w:rsidR="00E81574">
        <w:rPr>
          <w:rFonts w:ascii="Arial" w:hAnsi="Arial" w:cs="Arial"/>
          <w:bCs/>
          <w:sz w:val="20"/>
          <w:szCs w:val="20"/>
          <w:lang w:val="es-CO"/>
        </w:rPr>
        <w:t xml:space="preserve">mantener </w:t>
      </w:r>
      <w:r w:rsidR="007D02E1">
        <w:rPr>
          <w:rFonts w:ascii="Arial" w:hAnsi="Arial" w:cs="Arial"/>
          <w:bCs/>
          <w:sz w:val="20"/>
          <w:szCs w:val="20"/>
          <w:lang w:val="es-CO"/>
        </w:rPr>
        <w:t>a disposición de la SFC</w:t>
      </w:r>
      <w:r w:rsidR="00F0250C" w:rsidDel="007D02E1">
        <w:rPr>
          <w:rFonts w:ascii="Arial" w:hAnsi="Arial" w:cs="Arial"/>
          <w:bCs/>
          <w:sz w:val="20"/>
          <w:szCs w:val="20"/>
          <w:lang w:val="es-CO"/>
        </w:rPr>
        <w:t>.</w:t>
      </w:r>
    </w:p>
    <w:p w14:paraId="7B69E72D" w14:textId="77777777" w:rsidR="00364995" w:rsidRDefault="00364995" w:rsidP="009A46BA">
      <w:pPr>
        <w:ind w:left="708" w:hanging="708"/>
        <w:jc w:val="both"/>
        <w:rPr>
          <w:rFonts w:ascii="Arial" w:hAnsi="Arial" w:cs="Arial"/>
          <w:bCs/>
          <w:sz w:val="20"/>
          <w:szCs w:val="20"/>
          <w:lang w:val="es-CO"/>
        </w:rPr>
      </w:pPr>
    </w:p>
    <w:p w14:paraId="0E09E3AE" w14:textId="1C661712" w:rsidR="00C678A8" w:rsidRPr="004B1969" w:rsidRDefault="00CF3942" w:rsidP="00BE2CFC">
      <w:pPr>
        <w:pStyle w:val="Prrafodelista"/>
        <w:numPr>
          <w:ilvl w:val="2"/>
          <w:numId w:val="1"/>
        </w:numPr>
        <w:ind w:left="851" w:hanging="851"/>
        <w:jc w:val="both"/>
        <w:rPr>
          <w:rFonts w:ascii="Arial" w:hAnsi="Arial" w:cs="Arial"/>
          <w:b/>
          <w:sz w:val="20"/>
          <w:szCs w:val="20"/>
          <w:lang w:val="es-CO"/>
        </w:rPr>
      </w:pPr>
      <w:r w:rsidRPr="004B1969">
        <w:rPr>
          <w:rFonts w:ascii="Arial" w:hAnsi="Arial" w:cs="Arial"/>
          <w:b/>
          <w:sz w:val="20"/>
          <w:szCs w:val="20"/>
          <w:lang w:val="es-CO"/>
        </w:rPr>
        <w:t xml:space="preserve">Pólizas o carteras </w:t>
      </w:r>
      <w:r w:rsidR="00437352" w:rsidRPr="004B1969">
        <w:rPr>
          <w:rFonts w:ascii="Arial" w:hAnsi="Arial" w:cs="Arial"/>
          <w:b/>
          <w:sz w:val="20"/>
          <w:szCs w:val="20"/>
          <w:lang w:val="es-CO"/>
        </w:rPr>
        <w:t xml:space="preserve">valoradas </w:t>
      </w:r>
      <w:r w:rsidR="00BA44F4" w:rsidRPr="004B1969">
        <w:rPr>
          <w:rFonts w:ascii="Arial" w:hAnsi="Arial" w:cs="Arial"/>
          <w:b/>
          <w:sz w:val="20"/>
          <w:szCs w:val="20"/>
          <w:lang w:val="es-CO"/>
        </w:rPr>
        <w:t>bajo el enfoque general</w:t>
      </w:r>
    </w:p>
    <w:p w14:paraId="6A17EDCE" w14:textId="77777777" w:rsidR="00C678A8" w:rsidRDefault="00C678A8" w:rsidP="00E268B0">
      <w:pPr>
        <w:jc w:val="both"/>
        <w:rPr>
          <w:rFonts w:ascii="Arial" w:hAnsi="Arial" w:cs="Arial"/>
          <w:bCs/>
          <w:sz w:val="20"/>
          <w:szCs w:val="20"/>
          <w:lang w:val="es-CO"/>
        </w:rPr>
      </w:pPr>
    </w:p>
    <w:p w14:paraId="7C7D8F9D" w14:textId="075EB359" w:rsidR="009271AB" w:rsidRDefault="00F15188" w:rsidP="00E268B0">
      <w:pPr>
        <w:jc w:val="both"/>
        <w:rPr>
          <w:rFonts w:ascii="Arial" w:hAnsi="Arial" w:cs="Arial"/>
          <w:bCs/>
          <w:sz w:val="20"/>
          <w:szCs w:val="20"/>
          <w:lang w:val="es-CO"/>
        </w:rPr>
      </w:pPr>
      <w:r>
        <w:rPr>
          <w:rFonts w:ascii="Arial" w:hAnsi="Arial" w:cs="Arial"/>
          <w:bCs/>
          <w:sz w:val="20"/>
          <w:szCs w:val="20"/>
          <w:lang w:val="es-CO"/>
        </w:rPr>
        <w:t xml:space="preserve">En este caso, </w:t>
      </w:r>
      <w:r w:rsidR="009271AB">
        <w:rPr>
          <w:rFonts w:ascii="Arial" w:hAnsi="Arial" w:cs="Arial"/>
          <w:bCs/>
          <w:sz w:val="20"/>
          <w:szCs w:val="20"/>
          <w:lang w:val="es-CO"/>
        </w:rPr>
        <w:t>la reserva de riesgos en curso se calcula a partir de los siguientes componentes</w:t>
      </w:r>
      <w:r>
        <w:rPr>
          <w:rFonts w:ascii="Arial" w:hAnsi="Arial" w:cs="Arial"/>
          <w:bCs/>
          <w:sz w:val="20"/>
          <w:szCs w:val="20"/>
          <w:lang w:val="es-CO"/>
        </w:rPr>
        <w:t>:</w:t>
      </w:r>
    </w:p>
    <w:p w14:paraId="144FE628" w14:textId="77777777" w:rsidR="00F15188" w:rsidRDefault="00F15188" w:rsidP="00E268B0">
      <w:pPr>
        <w:jc w:val="both"/>
        <w:rPr>
          <w:rFonts w:ascii="Arial" w:hAnsi="Arial" w:cs="Arial"/>
          <w:bCs/>
          <w:sz w:val="20"/>
          <w:szCs w:val="20"/>
          <w:lang w:val="es-CO"/>
        </w:rPr>
      </w:pPr>
    </w:p>
    <w:p w14:paraId="7F0763DC" w14:textId="462F1461" w:rsidR="004B1969" w:rsidRDefault="00364995" w:rsidP="00BE2CFC">
      <w:pPr>
        <w:pStyle w:val="Prrafodelista"/>
        <w:numPr>
          <w:ilvl w:val="0"/>
          <w:numId w:val="4"/>
        </w:numPr>
        <w:ind w:left="567" w:hanging="567"/>
        <w:jc w:val="both"/>
        <w:rPr>
          <w:rFonts w:ascii="Arial" w:hAnsi="Arial" w:cs="Arial"/>
          <w:bCs/>
          <w:sz w:val="20"/>
          <w:szCs w:val="20"/>
          <w:lang w:val="es-CO"/>
        </w:rPr>
      </w:pPr>
      <w:r w:rsidRPr="004B1969">
        <w:rPr>
          <w:rFonts w:ascii="Arial" w:hAnsi="Arial" w:cs="Arial"/>
          <w:bCs/>
          <w:sz w:val="20"/>
          <w:szCs w:val="20"/>
          <w:lang w:val="es-CO"/>
        </w:rPr>
        <w:t>L</w:t>
      </w:r>
      <w:r w:rsidR="00F47CF5" w:rsidRPr="004B1969">
        <w:rPr>
          <w:rFonts w:ascii="Arial" w:hAnsi="Arial" w:cs="Arial"/>
          <w:bCs/>
          <w:sz w:val="20"/>
          <w:szCs w:val="20"/>
          <w:lang w:val="es-CO"/>
        </w:rPr>
        <w:t xml:space="preserve">a mejor estimación de las obligaciones futuras </w:t>
      </w:r>
      <w:r w:rsidR="00576D2F" w:rsidRPr="004B1969">
        <w:rPr>
          <w:rFonts w:ascii="Arial" w:hAnsi="Arial" w:cs="Arial"/>
          <w:bCs/>
          <w:sz w:val="20"/>
          <w:szCs w:val="20"/>
          <w:lang w:val="es-CO"/>
        </w:rPr>
        <w:t>en los términos del numeral 3 del presente capítulo</w:t>
      </w:r>
      <w:r w:rsidRPr="004B1969">
        <w:rPr>
          <w:rFonts w:ascii="Arial" w:hAnsi="Arial" w:cs="Arial"/>
          <w:bCs/>
          <w:sz w:val="20"/>
          <w:szCs w:val="20"/>
          <w:lang w:val="es-CO"/>
        </w:rPr>
        <w:t xml:space="preserve">, incluyendo el ajuste por riesgo no financiero de que trata el </w:t>
      </w:r>
      <w:r w:rsidR="007F1620" w:rsidRPr="004B1969">
        <w:rPr>
          <w:rFonts w:ascii="Arial" w:hAnsi="Arial" w:cs="Arial"/>
          <w:bCs/>
          <w:sz w:val="20"/>
          <w:szCs w:val="20"/>
          <w:lang w:val="es-CO"/>
        </w:rPr>
        <w:t>numeral 3.4.</w:t>
      </w:r>
    </w:p>
    <w:p w14:paraId="5C4A46DB" w14:textId="77777777" w:rsidR="004B1969" w:rsidRDefault="004B1969" w:rsidP="004B1969">
      <w:pPr>
        <w:pStyle w:val="Prrafodelista"/>
        <w:ind w:left="567"/>
        <w:jc w:val="both"/>
        <w:rPr>
          <w:rFonts w:ascii="Arial" w:hAnsi="Arial" w:cs="Arial"/>
          <w:bCs/>
          <w:sz w:val="20"/>
          <w:szCs w:val="20"/>
          <w:lang w:val="es-CO"/>
        </w:rPr>
      </w:pPr>
    </w:p>
    <w:p w14:paraId="73C0CF7D" w14:textId="43401458" w:rsidR="007F1620" w:rsidRDefault="007F1620" w:rsidP="00BE2CFC">
      <w:pPr>
        <w:pStyle w:val="Prrafodelista"/>
        <w:numPr>
          <w:ilvl w:val="0"/>
          <w:numId w:val="4"/>
        </w:numPr>
        <w:ind w:left="567" w:hanging="567"/>
        <w:jc w:val="both"/>
        <w:rPr>
          <w:rFonts w:ascii="Arial" w:hAnsi="Arial" w:cs="Arial"/>
          <w:bCs/>
          <w:sz w:val="20"/>
          <w:szCs w:val="20"/>
          <w:lang w:val="es-CO"/>
        </w:rPr>
      </w:pPr>
      <w:r w:rsidRPr="004B1969">
        <w:rPr>
          <w:rFonts w:ascii="Arial" w:hAnsi="Arial" w:cs="Arial"/>
          <w:bCs/>
          <w:sz w:val="20"/>
          <w:szCs w:val="20"/>
          <w:lang w:val="es-CO"/>
        </w:rPr>
        <w:t xml:space="preserve">El margen de servicio contractual de que </w:t>
      </w:r>
      <w:r w:rsidR="006F2770" w:rsidRPr="004B1969">
        <w:rPr>
          <w:rFonts w:ascii="Arial" w:hAnsi="Arial" w:cs="Arial"/>
          <w:bCs/>
          <w:sz w:val="20"/>
          <w:szCs w:val="20"/>
          <w:lang w:val="es-CO"/>
        </w:rPr>
        <w:t xml:space="preserve">trata el </w:t>
      </w:r>
      <w:r w:rsidR="00C04F80">
        <w:rPr>
          <w:rFonts w:ascii="Arial" w:hAnsi="Arial" w:cs="Arial"/>
          <w:bCs/>
          <w:sz w:val="20"/>
          <w:szCs w:val="20"/>
          <w:lang w:val="es-CO"/>
        </w:rPr>
        <w:t xml:space="preserve">numeral 6.1.2. del </w:t>
      </w:r>
      <w:r w:rsidR="006F2770" w:rsidRPr="004B1969">
        <w:rPr>
          <w:rFonts w:ascii="Arial" w:hAnsi="Arial" w:cs="Arial"/>
          <w:bCs/>
          <w:sz w:val="20"/>
          <w:szCs w:val="20"/>
          <w:lang w:val="es-CO"/>
        </w:rPr>
        <w:t xml:space="preserve">capítulo </w:t>
      </w:r>
      <w:r w:rsidR="000B57E1" w:rsidRPr="004B1969">
        <w:rPr>
          <w:rFonts w:ascii="Arial" w:hAnsi="Arial" w:cs="Arial"/>
          <w:bCs/>
          <w:sz w:val="20"/>
          <w:szCs w:val="20"/>
          <w:lang w:val="es-CO"/>
        </w:rPr>
        <w:t>XXXV de</w:t>
      </w:r>
      <w:r w:rsidR="00E87294" w:rsidRPr="004B1969">
        <w:rPr>
          <w:rFonts w:ascii="Arial" w:hAnsi="Arial" w:cs="Arial"/>
          <w:bCs/>
          <w:sz w:val="20"/>
          <w:szCs w:val="20"/>
          <w:lang w:val="es-CO"/>
        </w:rPr>
        <w:t xml:space="preserve"> la </w:t>
      </w:r>
      <w:r w:rsidR="006F0080">
        <w:rPr>
          <w:rFonts w:ascii="Arial" w:hAnsi="Arial" w:cs="Arial"/>
          <w:bCs/>
          <w:sz w:val="20"/>
          <w:szCs w:val="20"/>
          <w:lang w:val="es-CO"/>
        </w:rPr>
        <w:t>CBCF.</w:t>
      </w:r>
    </w:p>
    <w:p w14:paraId="5A54BCA2" w14:textId="77777777" w:rsidR="00E552BC" w:rsidRDefault="00E552BC" w:rsidP="00E268B0">
      <w:pPr>
        <w:jc w:val="both"/>
        <w:rPr>
          <w:rFonts w:ascii="Arial" w:hAnsi="Arial" w:cs="Arial"/>
          <w:bCs/>
          <w:sz w:val="20"/>
          <w:szCs w:val="20"/>
          <w:lang w:val="es-CO"/>
        </w:rPr>
      </w:pPr>
    </w:p>
    <w:p w14:paraId="7AC495BF" w14:textId="3EC19A5C" w:rsidR="00380501" w:rsidRPr="004B1969" w:rsidRDefault="00380501" w:rsidP="00BE2CFC">
      <w:pPr>
        <w:pStyle w:val="Prrafodelista"/>
        <w:numPr>
          <w:ilvl w:val="2"/>
          <w:numId w:val="1"/>
        </w:numPr>
        <w:ind w:left="851" w:hanging="851"/>
        <w:jc w:val="both"/>
        <w:rPr>
          <w:rFonts w:ascii="Arial" w:hAnsi="Arial" w:cs="Arial"/>
          <w:b/>
          <w:sz w:val="20"/>
          <w:szCs w:val="20"/>
          <w:lang w:val="es-CO"/>
        </w:rPr>
      </w:pPr>
      <w:r w:rsidRPr="004B1969">
        <w:rPr>
          <w:rFonts w:ascii="Arial" w:hAnsi="Arial" w:cs="Arial"/>
          <w:b/>
          <w:sz w:val="20"/>
          <w:szCs w:val="20"/>
          <w:lang w:val="es-CO"/>
        </w:rPr>
        <w:t xml:space="preserve">Pólizas o carteras valoradas bajo el enfoque </w:t>
      </w:r>
      <w:r w:rsidR="001E7C3E">
        <w:rPr>
          <w:rFonts w:ascii="Arial" w:hAnsi="Arial" w:cs="Arial"/>
          <w:b/>
          <w:sz w:val="20"/>
          <w:szCs w:val="20"/>
          <w:lang w:val="es-CO"/>
        </w:rPr>
        <w:t>de asignación de prima</w:t>
      </w:r>
    </w:p>
    <w:p w14:paraId="62B1C0D0" w14:textId="77777777" w:rsidR="00380501" w:rsidRDefault="00380501" w:rsidP="00380501">
      <w:pPr>
        <w:jc w:val="both"/>
        <w:rPr>
          <w:rFonts w:ascii="Arial" w:hAnsi="Arial" w:cs="Arial"/>
          <w:bCs/>
          <w:sz w:val="20"/>
          <w:szCs w:val="20"/>
          <w:lang w:val="es-CO"/>
        </w:rPr>
      </w:pPr>
    </w:p>
    <w:p w14:paraId="3620789F" w14:textId="26960715" w:rsidR="003C6518" w:rsidRPr="00193053" w:rsidRDefault="00D51C6E" w:rsidP="00026D1B">
      <w:pPr>
        <w:jc w:val="both"/>
        <w:rPr>
          <w:rFonts w:ascii="Arial" w:hAnsi="Arial" w:cs="Arial"/>
          <w:bCs/>
          <w:sz w:val="20"/>
          <w:szCs w:val="20"/>
          <w:lang w:val="es-CO"/>
        </w:rPr>
      </w:pPr>
      <w:r>
        <w:rPr>
          <w:rFonts w:ascii="Arial" w:hAnsi="Arial" w:cs="Arial"/>
          <w:bCs/>
          <w:sz w:val="20"/>
          <w:szCs w:val="20"/>
          <w:lang w:val="es-CO"/>
        </w:rPr>
        <w:t>Para estas pólizas y carteras</w:t>
      </w:r>
      <w:r w:rsidR="00380501">
        <w:rPr>
          <w:rFonts w:ascii="Arial" w:hAnsi="Arial" w:cs="Arial"/>
          <w:bCs/>
          <w:sz w:val="20"/>
          <w:szCs w:val="20"/>
          <w:lang w:val="es-CO"/>
        </w:rPr>
        <w:t xml:space="preserve">, la reserva de riesgos en curso se calcula </w:t>
      </w:r>
      <w:r w:rsidR="00663C9A">
        <w:rPr>
          <w:rFonts w:ascii="Arial" w:hAnsi="Arial" w:cs="Arial"/>
          <w:bCs/>
          <w:sz w:val="20"/>
          <w:szCs w:val="20"/>
          <w:lang w:val="es-CO"/>
        </w:rPr>
        <w:t>teniendo en cuenta l</w:t>
      </w:r>
      <w:r w:rsidR="00FE1FB6" w:rsidRPr="00026D1B">
        <w:rPr>
          <w:rFonts w:ascii="Arial" w:hAnsi="Arial" w:cs="Arial"/>
          <w:bCs/>
          <w:sz w:val="20"/>
          <w:szCs w:val="20"/>
          <w:lang w:val="es-CO"/>
        </w:rPr>
        <w:t xml:space="preserve">a estimación de los </w:t>
      </w:r>
      <w:r w:rsidR="00332536" w:rsidRPr="00026D1B">
        <w:rPr>
          <w:rFonts w:ascii="Arial" w:hAnsi="Arial" w:cs="Arial"/>
          <w:bCs/>
          <w:sz w:val="20"/>
          <w:szCs w:val="20"/>
          <w:lang w:val="es-CO"/>
        </w:rPr>
        <w:t xml:space="preserve">flujos futuros de efectivo </w:t>
      </w:r>
      <w:r w:rsidR="00FE1FB6" w:rsidRPr="00026D1B">
        <w:rPr>
          <w:rFonts w:ascii="Arial" w:hAnsi="Arial" w:cs="Arial"/>
          <w:bCs/>
          <w:sz w:val="20"/>
          <w:szCs w:val="20"/>
          <w:lang w:val="es-CO"/>
        </w:rPr>
        <w:t>a partir de la prima emitida</w:t>
      </w:r>
      <w:r w:rsidR="003549E1" w:rsidRPr="00026D1B">
        <w:rPr>
          <w:rFonts w:ascii="Arial" w:hAnsi="Arial" w:cs="Arial"/>
          <w:bCs/>
          <w:sz w:val="20"/>
          <w:szCs w:val="20"/>
          <w:lang w:val="es-CO"/>
        </w:rPr>
        <w:t xml:space="preserve">, es decir, el valor total de la prima </w:t>
      </w:r>
      <w:r w:rsidR="00E73FE2" w:rsidRPr="00026D1B">
        <w:rPr>
          <w:rFonts w:ascii="Arial" w:hAnsi="Arial" w:cs="Arial"/>
          <w:bCs/>
          <w:sz w:val="20"/>
          <w:szCs w:val="20"/>
          <w:lang w:val="es-CO"/>
        </w:rPr>
        <w:t>cobrada</w:t>
      </w:r>
      <w:r w:rsidR="009A619E">
        <w:rPr>
          <w:rFonts w:ascii="Arial" w:hAnsi="Arial" w:cs="Arial"/>
          <w:bCs/>
          <w:sz w:val="20"/>
          <w:szCs w:val="20"/>
          <w:lang w:val="es-CO"/>
        </w:rPr>
        <w:t>,</w:t>
      </w:r>
      <w:r w:rsidR="00E73FE2" w:rsidRPr="00026D1B">
        <w:rPr>
          <w:rFonts w:ascii="Arial" w:hAnsi="Arial" w:cs="Arial"/>
          <w:bCs/>
          <w:sz w:val="20"/>
          <w:szCs w:val="20"/>
          <w:lang w:val="es-CO"/>
        </w:rPr>
        <w:t xml:space="preserve"> sin importar su forma de pago, </w:t>
      </w:r>
      <w:r w:rsidR="00DB27F5">
        <w:rPr>
          <w:rFonts w:ascii="Arial" w:hAnsi="Arial" w:cs="Arial"/>
          <w:bCs/>
          <w:sz w:val="20"/>
          <w:szCs w:val="20"/>
          <w:lang w:val="es-CO"/>
        </w:rPr>
        <w:t xml:space="preserve">en línea con lo previsto en el numeral </w:t>
      </w:r>
      <w:r w:rsidR="006A1B20">
        <w:rPr>
          <w:rFonts w:ascii="Arial" w:hAnsi="Arial" w:cs="Arial"/>
          <w:bCs/>
          <w:sz w:val="20"/>
          <w:szCs w:val="20"/>
          <w:lang w:val="es-CO"/>
        </w:rPr>
        <w:t xml:space="preserve">5.2. del capítulo </w:t>
      </w:r>
      <w:r w:rsidR="006A1B20" w:rsidRPr="004B1969">
        <w:rPr>
          <w:rFonts w:ascii="Arial" w:hAnsi="Arial" w:cs="Arial"/>
          <w:bCs/>
          <w:sz w:val="20"/>
          <w:szCs w:val="20"/>
          <w:lang w:val="es-CO"/>
        </w:rPr>
        <w:t xml:space="preserve">XXXV de la </w:t>
      </w:r>
      <w:r w:rsidR="006A1B20">
        <w:rPr>
          <w:rFonts w:ascii="Arial" w:hAnsi="Arial" w:cs="Arial"/>
          <w:bCs/>
          <w:sz w:val="20"/>
          <w:szCs w:val="20"/>
          <w:lang w:val="es-CO"/>
        </w:rPr>
        <w:t>CBCF</w:t>
      </w:r>
      <w:r w:rsidR="00FE1FB6" w:rsidRPr="00026D1B">
        <w:rPr>
          <w:rFonts w:ascii="Arial" w:hAnsi="Arial" w:cs="Arial"/>
          <w:bCs/>
          <w:sz w:val="20"/>
          <w:szCs w:val="20"/>
          <w:lang w:val="es-CO"/>
        </w:rPr>
        <w:t xml:space="preserve">. </w:t>
      </w:r>
      <w:r w:rsidR="00025E51" w:rsidRPr="00026D1B">
        <w:rPr>
          <w:rFonts w:ascii="Arial" w:hAnsi="Arial" w:cs="Arial"/>
          <w:bCs/>
          <w:sz w:val="20"/>
          <w:szCs w:val="20"/>
          <w:lang w:val="es-CO"/>
        </w:rPr>
        <w:t xml:space="preserve">Para el caso del SOAT, </w:t>
      </w:r>
      <w:r w:rsidR="000078A7" w:rsidRPr="00026D1B">
        <w:rPr>
          <w:rFonts w:ascii="Arial" w:hAnsi="Arial" w:cs="Arial"/>
          <w:bCs/>
          <w:sz w:val="20"/>
          <w:szCs w:val="20"/>
          <w:lang w:val="es-CO"/>
        </w:rPr>
        <w:t>se debe tener en cuenta lo previsto en el parágrafo del artículo 2.31.4.2.2. del Decreto 2555 de 2010</w:t>
      </w:r>
      <w:r w:rsidR="008304EB">
        <w:rPr>
          <w:rFonts w:ascii="Arial" w:hAnsi="Arial" w:cs="Arial"/>
          <w:bCs/>
          <w:sz w:val="20"/>
          <w:szCs w:val="20"/>
          <w:lang w:val="es-CO"/>
        </w:rPr>
        <w:t>.</w:t>
      </w:r>
    </w:p>
    <w:p w14:paraId="26DBCE5C" w14:textId="77777777" w:rsidR="004C3755" w:rsidRPr="00E6635A" w:rsidRDefault="004C3755" w:rsidP="006810DE">
      <w:pPr>
        <w:jc w:val="both"/>
        <w:rPr>
          <w:rFonts w:ascii="Arial" w:hAnsi="Arial" w:cs="Arial"/>
          <w:b/>
          <w:sz w:val="20"/>
          <w:szCs w:val="20"/>
          <w:lang w:val="es-CO"/>
        </w:rPr>
      </w:pPr>
    </w:p>
    <w:p w14:paraId="60BB3260" w14:textId="0668B6A9" w:rsidR="004C3755" w:rsidRDefault="00B17A8F" w:rsidP="00BE2CFC">
      <w:pPr>
        <w:pStyle w:val="Prrafodelista"/>
        <w:numPr>
          <w:ilvl w:val="2"/>
          <w:numId w:val="1"/>
        </w:numPr>
        <w:ind w:left="851" w:hanging="851"/>
        <w:jc w:val="both"/>
        <w:rPr>
          <w:rFonts w:ascii="Arial" w:hAnsi="Arial" w:cs="Arial"/>
          <w:b/>
          <w:sz w:val="20"/>
          <w:szCs w:val="20"/>
          <w:lang w:val="es-CO"/>
        </w:rPr>
      </w:pPr>
      <w:r w:rsidRPr="00E6635A">
        <w:rPr>
          <w:rFonts w:ascii="Arial" w:hAnsi="Arial" w:cs="Arial"/>
          <w:b/>
          <w:sz w:val="20"/>
          <w:szCs w:val="20"/>
          <w:lang w:val="es-CO"/>
        </w:rPr>
        <w:t xml:space="preserve">Reglas especiales para </w:t>
      </w:r>
      <w:r w:rsidR="00E6635A" w:rsidRPr="00E6635A">
        <w:rPr>
          <w:rFonts w:ascii="Arial" w:hAnsi="Arial" w:cs="Arial"/>
          <w:b/>
          <w:sz w:val="20"/>
          <w:szCs w:val="20"/>
          <w:lang w:val="es-CO"/>
        </w:rPr>
        <w:t xml:space="preserve">el ramo de </w:t>
      </w:r>
      <w:r w:rsidRPr="00E6635A">
        <w:rPr>
          <w:rFonts w:ascii="Arial" w:hAnsi="Arial" w:cs="Arial"/>
          <w:b/>
          <w:sz w:val="20"/>
          <w:szCs w:val="20"/>
          <w:lang w:val="es-CO"/>
        </w:rPr>
        <w:t>seguro</w:t>
      </w:r>
      <w:r w:rsidR="00E6635A" w:rsidRPr="00E6635A">
        <w:rPr>
          <w:rFonts w:ascii="Arial" w:hAnsi="Arial" w:cs="Arial"/>
          <w:b/>
          <w:sz w:val="20"/>
          <w:szCs w:val="20"/>
          <w:lang w:val="es-CO"/>
        </w:rPr>
        <w:t xml:space="preserve"> de terremoto</w:t>
      </w:r>
    </w:p>
    <w:p w14:paraId="290D2AFC" w14:textId="77777777" w:rsidR="003A53CD" w:rsidRDefault="003A53CD" w:rsidP="003A53CD">
      <w:pPr>
        <w:jc w:val="both"/>
        <w:rPr>
          <w:rFonts w:ascii="Arial" w:hAnsi="Arial" w:cs="Arial"/>
          <w:b/>
          <w:sz w:val="20"/>
          <w:szCs w:val="20"/>
          <w:lang w:val="es-CO"/>
        </w:rPr>
      </w:pPr>
    </w:p>
    <w:p w14:paraId="28917C1E" w14:textId="24BA2FB1" w:rsidR="001A4902" w:rsidRDefault="00686C86" w:rsidP="00FD3B0C">
      <w:pPr>
        <w:jc w:val="both"/>
        <w:rPr>
          <w:rFonts w:ascii="Arial" w:hAnsi="Arial" w:cs="Arial"/>
          <w:bCs/>
          <w:sz w:val="20"/>
          <w:szCs w:val="20"/>
          <w:lang w:val="es-CO"/>
        </w:rPr>
      </w:pPr>
      <w:r>
        <w:rPr>
          <w:rFonts w:ascii="Arial" w:hAnsi="Arial" w:cs="Arial"/>
          <w:bCs/>
          <w:sz w:val="20"/>
          <w:szCs w:val="20"/>
          <w:lang w:val="es-CO"/>
        </w:rPr>
        <w:t>Para el ramo de seguro de terremoto</w:t>
      </w:r>
      <w:r w:rsidR="001927CD">
        <w:rPr>
          <w:rFonts w:ascii="Arial" w:hAnsi="Arial" w:cs="Arial"/>
          <w:bCs/>
          <w:sz w:val="20"/>
          <w:szCs w:val="20"/>
          <w:lang w:val="es-CO"/>
        </w:rPr>
        <w:t xml:space="preserve"> la reserva de riesgos</w:t>
      </w:r>
      <w:r w:rsidR="00FD3B0C">
        <w:rPr>
          <w:rFonts w:ascii="Arial" w:hAnsi="Arial" w:cs="Arial"/>
          <w:bCs/>
          <w:sz w:val="20"/>
          <w:szCs w:val="20"/>
          <w:lang w:val="es-CO"/>
        </w:rPr>
        <w:t xml:space="preserve"> en curso y su liberación se rige</w:t>
      </w:r>
      <w:r w:rsidR="00A5074F">
        <w:rPr>
          <w:rFonts w:ascii="Arial" w:hAnsi="Arial" w:cs="Arial"/>
          <w:bCs/>
          <w:sz w:val="20"/>
          <w:szCs w:val="20"/>
          <w:lang w:val="es-CO"/>
        </w:rPr>
        <w:t>n</w:t>
      </w:r>
      <w:r w:rsidR="00FD3B0C">
        <w:rPr>
          <w:rFonts w:ascii="Arial" w:hAnsi="Arial" w:cs="Arial"/>
          <w:bCs/>
          <w:sz w:val="20"/>
          <w:szCs w:val="20"/>
          <w:lang w:val="es-CO"/>
        </w:rPr>
        <w:t xml:space="preserve"> por lo previsto en </w:t>
      </w:r>
      <w:r w:rsidR="003A53CD">
        <w:rPr>
          <w:rFonts w:ascii="Arial" w:hAnsi="Arial" w:cs="Arial"/>
          <w:bCs/>
          <w:sz w:val="20"/>
          <w:szCs w:val="20"/>
          <w:lang w:val="es-CO"/>
        </w:rPr>
        <w:t>el artículo 2.</w:t>
      </w:r>
      <w:r w:rsidR="005B2FC5">
        <w:rPr>
          <w:rFonts w:ascii="Arial" w:hAnsi="Arial" w:cs="Arial"/>
          <w:bCs/>
          <w:sz w:val="20"/>
          <w:szCs w:val="20"/>
          <w:lang w:val="es-CO"/>
        </w:rPr>
        <w:t>31.5.1.2. del Decreto 2555 de 2010</w:t>
      </w:r>
      <w:r w:rsidR="00FD3B0C">
        <w:rPr>
          <w:rFonts w:ascii="Arial" w:hAnsi="Arial" w:cs="Arial"/>
          <w:bCs/>
          <w:sz w:val="20"/>
          <w:szCs w:val="20"/>
          <w:lang w:val="es-CO"/>
        </w:rPr>
        <w:t>.</w:t>
      </w:r>
    </w:p>
    <w:p w14:paraId="404944D7" w14:textId="77777777" w:rsidR="001927CD" w:rsidRPr="0065521A" w:rsidRDefault="001927CD" w:rsidP="001A4902">
      <w:pPr>
        <w:jc w:val="both"/>
        <w:rPr>
          <w:rFonts w:ascii="Arial" w:hAnsi="Arial" w:cs="Arial"/>
          <w:bCs/>
          <w:sz w:val="20"/>
          <w:szCs w:val="20"/>
          <w:lang w:val="es-CO"/>
        </w:rPr>
      </w:pPr>
    </w:p>
    <w:p w14:paraId="70535E97" w14:textId="0D22D1A0" w:rsidR="001A4902" w:rsidRDefault="001A4902" w:rsidP="00BE2CFC">
      <w:pPr>
        <w:pStyle w:val="Prrafodelista"/>
        <w:numPr>
          <w:ilvl w:val="1"/>
          <w:numId w:val="1"/>
        </w:numPr>
        <w:ind w:left="851" w:hanging="851"/>
        <w:jc w:val="both"/>
        <w:rPr>
          <w:rFonts w:ascii="Arial" w:hAnsi="Arial" w:cs="Arial"/>
          <w:b/>
          <w:sz w:val="20"/>
          <w:szCs w:val="20"/>
          <w:lang w:val="es-CO"/>
        </w:rPr>
      </w:pPr>
      <w:r w:rsidRPr="00B15A88">
        <w:rPr>
          <w:rFonts w:ascii="Arial" w:hAnsi="Arial" w:cs="Arial"/>
          <w:b/>
          <w:sz w:val="20"/>
          <w:szCs w:val="20"/>
          <w:lang w:val="es-CO"/>
        </w:rPr>
        <w:t xml:space="preserve">Reserva </w:t>
      </w:r>
      <w:r w:rsidR="00791936">
        <w:rPr>
          <w:rFonts w:ascii="Arial" w:hAnsi="Arial" w:cs="Arial"/>
          <w:b/>
          <w:sz w:val="20"/>
          <w:szCs w:val="20"/>
          <w:lang w:val="es-CO"/>
        </w:rPr>
        <w:t>matemática</w:t>
      </w:r>
    </w:p>
    <w:p w14:paraId="4960C2F0" w14:textId="77777777" w:rsidR="001A4902" w:rsidRPr="003048AC" w:rsidRDefault="001A4902" w:rsidP="001A4902">
      <w:pPr>
        <w:jc w:val="both"/>
        <w:rPr>
          <w:rFonts w:ascii="Arial" w:hAnsi="Arial" w:cs="Arial"/>
          <w:bCs/>
          <w:sz w:val="20"/>
          <w:szCs w:val="20"/>
          <w:lang w:val="es-CO"/>
        </w:rPr>
      </w:pPr>
    </w:p>
    <w:p w14:paraId="4ACB570E" w14:textId="622D848C" w:rsidR="00DB49AC" w:rsidRDefault="00183888" w:rsidP="001A4902">
      <w:pPr>
        <w:jc w:val="both"/>
        <w:rPr>
          <w:rFonts w:ascii="Arial" w:hAnsi="Arial" w:cs="Arial"/>
          <w:bCs/>
          <w:sz w:val="20"/>
          <w:szCs w:val="20"/>
          <w:lang w:val="es-CO"/>
        </w:rPr>
      </w:pPr>
      <w:r>
        <w:rPr>
          <w:rFonts w:ascii="Arial" w:hAnsi="Arial" w:cs="Arial"/>
          <w:bCs/>
          <w:sz w:val="20"/>
          <w:szCs w:val="20"/>
          <w:lang w:val="es-CO"/>
        </w:rPr>
        <w:t>L</w:t>
      </w:r>
      <w:r w:rsidR="001A4902">
        <w:rPr>
          <w:rFonts w:ascii="Arial" w:hAnsi="Arial" w:cs="Arial"/>
          <w:bCs/>
          <w:sz w:val="20"/>
          <w:szCs w:val="20"/>
          <w:lang w:val="es-CO"/>
        </w:rPr>
        <w:t>a reserva</w:t>
      </w:r>
      <w:r w:rsidR="00DB49AC">
        <w:rPr>
          <w:rFonts w:ascii="Arial" w:hAnsi="Arial" w:cs="Arial"/>
          <w:bCs/>
          <w:sz w:val="20"/>
          <w:szCs w:val="20"/>
          <w:lang w:val="es-CO"/>
        </w:rPr>
        <w:t xml:space="preserve"> matemática </w:t>
      </w:r>
      <w:r w:rsidR="004F2A9B">
        <w:rPr>
          <w:rFonts w:ascii="Arial" w:hAnsi="Arial" w:cs="Arial"/>
          <w:bCs/>
          <w:sz w:val="20"/>
          <w:szCs w:val="20"/>
          <w:lang w:val="es-CO"/>
        </w:rPr>
        <w:t xml:space="preserve">es aplicable a los ramos señalados en el artículo </w:t>
      </w:r>
      <w:r w:rsidR="004F2A9B" w:rsidRPr="00202FC9">
        <w:rPr>
          <w:rFonts w:ascii="Arial" w:hAnsi="Arial" w:cs="Arial"/>
          <w:bCs/>
          <w:sz w:val="20"/>
          <w:szCs w:val="20"/>
          <w:lang w:val="es-CO"/>
        </w:rPr>
        <w:t>2.31.4.</w:t>
      </w:r>
      <w:r w:rsidR="004F2A9B">
        <w:rPr>
          <w:rFonts w:ascii="Arial" w:hAnsi="Arial" w:cs="Arial"/>
          <w:bCs/>
          <w:sz w:val="20"/>
          <w:szCs w:val="20"/>
          <w:lang w:val="es-CO"/>
        </w:rPr>
        <w:t>3</w:t>
      </w:r>
      <w:r w:rsidR="004F2A9B" w:rsidRPr="00202FC9">
        <w:rPr>
          <w:rFonts w:ascii="Arial" w:hAnsi="Arial" w:cs="Arial"/>
          <w:bCs/>
          <w:sz w:val="20"/>
          <w:szCs w:val="20"/>
          <w:lang w:val="es-CO"/>
        </w:rPr>
        <w:t>.</w:t>
      </w:r>
      <w:r w:rsidR="004F2A9B">
        <w:rPr>
          <w:rFonts w:ascii="Arial" w:hAnsi="Arial" w:cs="Arial"/>
          <w:bCs/>
          <w:sz w:val="20"/>
          <w:szCs w:val="20"/>
          <w:lang w:val="es-CO"/>
        </w:rPr>
        <w:t>1</w:t>
      </w:r>
      <w:r w:rsidR="004F2A9B" w:rsidRPr="00202FC9">
        <w:rPr>
          <w:rFonts w:ascii="Arial" w:hAnsi="Arial" w:cs="Arial"/>
          <w:bCs/>
          <w:sz w:val="20"/>
          <w:szCs w:val="20"/>
          <w:lang w:val="es-CO"/>
        </w:rPr>
        <w:t>.</w:t>
      </w:r>
      <w:r w:rsidR="001A793D">
        <w:rPr>
          <w:rFonts w:ascii="Arial" w:hAnsi="Arial" w:cs="Arial"/>
          <w:bCs/>
          <w:sz w:val="20"/>
          <w:szCs w:val="20"/>
          <w:lang w:val="es-CO"/>
        </w:rPr>
        <w:t xml:space="preserve"> </w:t>
      </w:r>
      <w:r w:rsidR="004F2A9B" w:rsidRPr="00202FC9">
        <w:rPr>
          <w:rFonts w:ascii="Arial" w:hAnsi="Arial" w:cs="Arial"/>
          <w:bCs/>
          <w:sz w:val="20"/>
          <w:szCs w:val="20"/>
          <w:lang w:val="es-CO"/>
        </w:rPr>
        <w:t>del Decreto 2555 de 2010</w:t>
      </w:r>
      <w:r>
        <w:rPr>
          <w:rFonts w:ascii="Arial" w:hAnsi="Arial" w:cs="Arial"/>
          <w:bCs/>
          <w:sz w:val="20"/>
          <w:szCs w:val="20"/>
          <w:lang w:val="es-CO"/>
        </w:rPr>
        <w:t>, y d</w:t>
      </w:r>
      <w:r w:rsidRPr="00202FC9">
        <w:rPr>
          <w:rFonts w:ascii="Arial" w:hAnsi="Arial" w:cs="Arial"/>
          <w:bCs/>
          <w:sz w:val="20"/>
          <w:szCs w:val="20"/>
          <w:lang w:val="es-CO"/>
        </w:rPr>
        <w:t xml:space="preserve">e </w:t>
      </w:r>
      <w:r>
        <w:rPr>
          <w:rFonts w:ascii="Arial" w:hAnsi="Arial" w:cs="Arial"/>
          <w:bCs/>
          <w:sz w:val="20"/>
          <w:szCs w:val="20"/>
          <w:lang w:val="es-CO"/>
        </w:rPr>
        <w:t xml:space="preserve">acuerdo </w:t>
      </w:r>
      <w:r w:rsidRPr="00202FC9">
        <w:rPr>
          <w:rFonts w:ascii="Arial" w:hAnsi="Arial" w:cs="Arial"/>
          <w:bCs/>
          <w:sz w:val="20"/>
          <w:szCs w:val="20"/>
          <w:lang w:val="es-CO"/>
        </w:rPr>
        <w:t>con el artículo 2.31.4.</w:t>
      </w:r>
      <w:r>
        <w:rPr>
          <w:rFonts w:ascii="Arial" w:hAnsi="Arial" w:cs="Arial"/>
          <w:bCs/>
          <w:sz w:val="20"/>
          <w:szCs w:val="20"/>
          <w:lang w:val="es-CO"/>
        </w:rPr>
        <w:t>3</w:t>
      </w:r>
      <w:r w:rsidRPr="00202FC9">
        <w:rPr>
          <w:rFonts w:ascii="Arial" w:hAnsi="Arial" w:cs="Arial"/>
          <w:bCs/>
          <w:sz w:val="20"/>
          <w:szCs w:val="20"/>
          <w:lang w:val="es-CO"/>
        </w:rPr>
        <w:t>.</w:t>
      </w:r>
      <w:r>
        <w:rPr>
          <w:rFonts w:ascii="Arial" w:hAnsi="Arial" w:cs="Arial"/>
          <w:bCs/>
          <w:sz w:val="20"/>
          <w:szCs w:val="20"/>
          <w:lang w:val="es-CO"/>
        </w:rPr>
        <w:t>2</w:t>
      </w:r>
      <w:r w:rsidRPr="00202FC9">
        <w:rPr>
          <w:rFonts w:ascii="Arial" w:hAnsi="Arial" w:cs="Arial"/>
          <w:bCs/>
          <w:sz w:val="20"/>
          <w:szCs w:val="20"/>
          <w:lang w:val="es-CO"/>
        </w:rPr>
        <w:t>. del Decreto 2555 de 2010</w:t>
      </w:r>
      <w:r w:rsidR="00C21C8B">
        <w:rPr>
          <w:rFonts w:ascii="Arial" w:hAnsi="Arial" w:cs="Arial"/>
          <w:bCs/>
          <w:sz w:val="20"/>
          <w:szCs w:val="20"/>
          <w:lang w:val="es-CO"/>
        </w:rPr>
        <w:t xml:space="preserve"> </w:t>
      </w:r>
      <w:r w:rsidR="002774C9">
        <w:rPr>
          <w:rFonts w:ascii="Arial" w:hAnsi="Arial" w:cs="Arial"/>
          <w:bCs/>
          <w:sz w:val="20"/>
          <w:szCs w:val="20"/>
          <w:lang w:val="es-CO"/>
        </w:rPr>
        <w:t xml:space="preserve">se </w:t>
      </w:r>
      <w:r w:rsidR="00C21C8B">
        <w:rPr>
          <w:rFonts w:ascii="Arial" w:hAnsi="Arial" w:cs="Arial"/>
          <w:bCs/>
          <w:sz w:val="20"/>
          <w:szCs w:val="20"/>
          <w:lang w:val="es-CO"/>
        </w:rPr>
        <w:t>debe calcular a partir de los siguientes componentes</w:t>
      </w:r>
      <w:r w:rsidR="00F46707">
        <w:rPr>
          <w:rFonts w:ascii="Arial" w:hAnsi="Arial" w:cs="Arial"/>
          <w:bCs/>
          <w:sz w:val="20"/>
          <w:szCs w:val="20"/>
          <w:lang w:val="es-CO"/>
        </w:rPr>
        <w:t>:</w:t>
      </w:r>
    </w:p>
    <w:p w14:paraId="65586037" w14:textId="77777777" w:rsidR="001A4902" w:rsidRDefault="001A4902" w:rsidP="001A4902">
      <w:pPr>
        <w:jc w:val="both"/>
        <w:rPr>
          <w:rFonts w:ascii="Arial" w:hAnsi="Arial" w:cs="Arial"/>
          <w:bCs/>
          <w:sz w:val="20"/>
          <w:szCs w:val="20"/>
          <w:lang w:val="es-CO"/>
        </w:rPr>
      </w:pPr>
    </w:p>
    <w:p w14:paraId="264291EE" w14:textId="15C4571F" w:rsidR="00E66D79" w:rsidRDefault="001A4902" w:rsidP="00BE2CFC">
      <w:pPr>
        <w:pStyle w:val="Prrafodelista"/>
        <w:numPr>
          <w:ilvl w:val="0"/>
          <w:numId w:val="6"/>
        </w:numPr>
        <w:ind w:left="567" w:hanging="567"/>
        <w:jc w:val="both"/>
        <w:rPr>
          <w:rFonts w:ascii="Arial" w:hAnsi="Arial" w:cs="Arial"/>
          <w:bCs/>
          <w:sz w:val="20"/>
          <w:szCs w:val="20"/>
          <w:lang w:val="es-CO"/>
        </w:rPr>
      </w:pPr>
      <w:r w:rsidRPr="00F46707">
        <w:rPr>
          <w:rFonts w:ascii="Arial" w:hAnsi="Arial" w:cs="Arial"/>
          <w:bCs/>
          <w:sz w:val="20"/>
          <w:szCs w:val="20"/>
          <w:lang w:val="es-CO"/>
        </w:rPr>
        <w:t>La mejor estimación de las obligaciones futuras en los términos del numeral 3 del presente capítulo, incluyendo el ajuste por riesgo no financiero de que trata el numeral 3.4.</w:t>
      </w:r>
    </w:p>
    <w:p w14:paraId="087F83C0" w14:textId="77777777" w:rsidR="00E66D79" w:rsidRDefault="00E66D79" w:rsidP="00E66D79">
      <w:pPr>
        <w:pStyle w:val="Prrafodelista"/>
        <w:ind w:left="567"/>
        <w:jc w:val="both"/>
        <w:rPr>
          <w:rFonts w:ascii="Arial" w:hAnsi="Arial" w:cs="Arial"/>
          <w:bCs/>
          <w:sz w:val="20"/>
          <w:szCs w:val="20"/>
          <w:lang w:val="es-CO"/>
        </w:rPr>
      </w:pPr>
    </w:p>
    <w:p w14:paraId="3187EBC8" w14:textId="77777777" w:rsidR="004F2978" w:rsidRDefault="00DC7778" w:rsidP="004F2978">
      <w:pPr>
        <w:pStyle w:val="Prrafodelista"/>
        <w:ind w:left="567"/>
        <w:jc w:val="both"/>
        <w:rPr>
          <w:rFonts w:ascii="Arial" w:hAnsi="Arial" w:cs="Arial"/>
          <w:bCs/>
          <w:sz w:val="20"/>
          <w:szCs w:val="20"/>
          <w:lang w:val="es-CO"/>
        </w:rPr>
      </w:pPr>
      <w:r>
        <w:rPr>
          <w:rFonts w:ascii="Arial" w:hAnsi="Arial" w:cs="Arial"/>
          <w:bCs/>
          <w:sz w:val="20"/>
          <w:szCs w:val="20"/>
          <w:lang w:val="es-CO"/>
        </w:rPr>
        <w:t>Según el</w:t>
      </w:r>
      <w:r w:rsidR="00EB422E">
        <w:rPr>
          <w:rFonts w:ascii="Arial" w:hAnsi="Arial" w:cs="Arial"/>
          <w:bCs/>
          <w:sz w:val="20"/>
          <w:szCs w:val="20"/>
          <w:lang w:val="es-CO"/>
        </w:rPr>
        <w:t xml:space="preserve"> caso, </w:t>
      </w:r>
      <w:r w:rsidR="00181CC7">
        <w:rPr>
          <w:rFonts w:ascii="Arial" w:hAnsi="Arial" w:cs="Arial"/>
          <w:bCs/>
          <w:sz w:val="20"/>
          <w:szCs w:val="20"/>
          <w:lang w:val="es-CO"/>
        </w:rPr>
        <w:t>los flujos de efectivo</w:t>
      </w:r>
      <w:r w:rsidR="00F90F4D">
        <w:rPr>
          <w:rFonts w:ascii="Arial" w:hAnsi="Arial" w:cs="Arial"/>
          <w:bCs/>
          <w:sz w:val="20"/>
          <w:szCs w:val="20"/>
          <w:lang w:val="es-CO"/>
        </w:rPr>
        <w:t xml:space="preserve"> se deben ajustar a partir del vector de inflación </w:t>
      </w:r>
      <w:r w:rsidR="0097572D">
        <w:rPr>
          <w:rFonts w:ascii="Arial" w:hAnsi="Arial" w:cs="Arial"/>
          <w:bCs/>
          <w:sz w:val="20"/>
          <w:szCs w:val="20"/>
          <w:lang w:val="es-CO"/>
        </w:rPr>
        <w:t xml:space="preserve">de que trata el </w:t>
      </w:r>
      <w:r w:rsidR="00B25AF2">
        <w:rPr>
          <w:rFonts w:ascii="Arial" w:hAnsi="Arial" w:cs="Arial"/>
          <w:bCs/>
          <w:sz w:val="20"/>
          <w:szCs w:val="20"/>
          <w:lang w:val="es-CO"/>
        </w:rPr>
        <w:t>numeral 3.1. del presente capítulo</w:t>
      </w:r>
      <w:r w:rsidR="00482A01">
        <w:rPr>
          <w:rFonts w:ascii="Arial" w:hAnsi="Arial" w:cs="Arial"/>
          <w:bCs/>
          <w:sz w:val="20"/>
          <w:szCs w:val="20"/>
          <w:lang w:val="es-CO"/>
        </w:rPr>
        <w:t xml:space="preserve">, o </w:t>
      </w:r>
      <w:r>
        <w:rPr>
          <w:rFonts w:ascii="Arial" w:hAnsi="Arial" w:cs="Arial"/>
          <w:bCs/>
          <w:sz w:val="20"/>
          <w:szCs w:val="20"/>
          <w:lang w:val="es-CO"/>
        </w:rPr>
        <w:t xml:space="preserve">de </w:t>
      </w:r>
      <w:r w:rsidR="00482A01">
        <w:rPr>
          <w:rFonts w:ascii="Arial" w:hAnsi="Arial" w:cs="Arial"/>
          <w:bCs/>
          <w:sz w:val="20"/>
          <w:szCs w:val="20"/>
          <w:lang w:val="es-CO"/>
        </w:rPr>
        <w:t xml:space="preserve">las tasas de crecimiento </w:t>
      </w:r>
      <w:r>
        <w:rPr>
          <w:rFonts w:ascii="Arial" w:hAnsi="Arial" w:cs="Arial"/>
          <w:bCs/>
          <w:sz w:val="20"/>
          <w:szCs w:val="20"/>
          <w:lang w:val="es-CO"/>
        </w:rPr>
        <w:t xml:space="preserve">de los beneficios pensionales </w:t>
      </w:r>
      <w:r w:rsidR="004A7C65">
        <w:rPr>
          <w:rFonts w:ascii="Arial" w:hAnsi="Arial" w:cs="Arial"/>
          <w:bCs/>
          <w:sz w:val="20"/>
          <w:szCs w:val="20"/>
          <w:lang w:val="es-CO"/>
        </w:rPr>
        <w:t>y la participación de utilidades</w:t>
      </w:r>
      <w:r w:rsidR="00EE6B71">
        <w:rPr>
          <w:rFonts w:ascii="Arial" w:hAnsi="Arial" w:cs="Arial"/>
          <w:bCs/>
          <w:sz w:val="20"/>
          <w:szCs w:val="20"/>
          <w:lang w:val="es-CO"/>
        </w:rPr>
        <w:t xml:space="preserve">, en los ramos en los </w:t>
      </w:r>
      <w:r w:rsidR="004601C8">
        <w:rPr>
          <w:rFonts w:ascii="Arial" w:hAnsi="Arial" w:cs="Arial"/>
          <w:bCs/>
          <w:sz w:val="20"/>
          <w:szCs w:val="20"/>
          <w:lang w:val="es-CO"/>
        </w:rPr>
        <w:t xml:space="preserve">que </w:t>
      </w:r>
      <w:r w:rsidR="00A52FAA">
        <w:rPr>
          <w:rFonts w:ascii="Arial" w:hAnsi="Arial" w:cs="Arial"/>
          <w:bCs/>
          <w:sz w:val="20"/>
          <w:szCs w:val="20"/>
          <w:lang w:val="es-CO"/>
        </w:rPr>
        <w:t>aplique.</w:t>
      </w:r>
    </w:p>
    <w:p w14:paraId="6205D55D" w14:textId="77777777" w:rsidR="004F2978" w:rsidRDefault="004F2978" w:rsidP="004F2978">
      <w:pPr>
        <w:pStyle w:val="Prrafodelista"/>
        <w:ind w:left="567"/>
        <w:jc w:val="both"/>
        <w:rPr>
          <w:rFonts w:ascii="Arial" w:hAnsi="Arial" w:cs="Arial"/>
          <w:bCs/>
          <w:sz w:val="20"/>
          <w:szCs w:val="20"/>
          <w:lang w:val="es-CO"/>
        </w:rPr>
      </w:pPr>
    </w:p>
    <w:p w14:paraId="6429E528" w14:textId="76F0AB65" w:rsidR="009B433F" w:rsidRDefault="00697933" w:rsidP="009B433F">
      <w:pPr>
        <w:pStyle w:val="Prrafodelista"/>
        <w:spacing w:after="160" w:line="259" w:lineRule="auto"/>
        <w:ind w:left="567"/>
        <w:jc w:val="both"/>
        <w:rPr>
          <w:rFonts w:ascii="Arial" w:hAnsi="Arial" w:cs="Arial"/>
          <w:bCs/>
          <w:sz w:val="20"/>
          <w:szCs w:val="20"/>
          <w:lang w:val="es-CO"/>
        </w:rPr>
      </w:pPr>
      <w:r w:rsidRPr="006717F3">
        <w:rPr>
          <w:rFonts w:ascii="Arial" w:hAnsi="Arial" w:cs="Arial"/>
          <w:bCs/>
          <w:sz w:val="20"/>
          <w:szCs w:val="20"/>
          <w:lang w:val="es-CO"/>
        </w:rPr>
        <w:t xml:space="preserve">Para la estimación de los flujos futuros de efectivo de los ramos de pensiones Ley 100, riesgos laborales y conmutación pensional </w:t>
      </w:r>
      <w:r w:rsidR="00DF7068">
        <w:rPr>
          <w:rFonts w:ascii="Arial" w:hAnsi="Arial" w:cs="Arial"/>
          <w:bCs/>
          <w:sz w:val="20"/>
          <w:szCs w:val="20"/>
          <w:lang w:val="es-CO"/>
        </w:rPr>
        <w:t>las entidades</w:t>
      </w:r>
      <w:r w:rsidRPr="006717F3">
        <w:rPr>
          <w:rFonts w:ascii="Arial" w:hAnsi="Arial" w:cs="Arial"/>
          <w:bCs/>
          <w:sz w:val="20"/>
          <w:szCs w:val="20"/>
          <w:lang w:val="es-CO"/>
        </w:rPr>
        <w:t xml:space="preserve"> deben tener en cuenta las tablas de mortalidad de rentistas y de inválidos expedidas por la SFC</w:t>
      </w:r>
      <w:r w:rsidR="00DE4E4C" w:rsidRPr="007A57BD">
        <w:rPr>
          <w:rFonts w:ascii="Arial" w:hAnsi="Arial" w:cs="Arial"/>
          <w:bCs/>
          <w:sz w:val="20"/>
          <w:szCs w:val="20"/>
          <w:lang w:val="es-CO"/>
        </w:rPr>
        <w:t xml:space="preserve"> y</w:t>
      </w:r>
      <w:r w:rsidRPr="006717F3">
        <w:rPr>
          <w:rFonts w:ascii="Arial" w:hAnsi="Arial" w:cs="Arial"/>
          <w:bCs/>
          <w:sz w:val="20"/>
          <w:szCs w:val="20"/>
          <w:lang w:val="es-CO"/>
        </w:rPr>
        <w:t xml:space="preserve"> p</w:t>
      </w:r>
      <w:r w:rsidR="004A6FEF">
        <w:rPr>
          <w:rFonts w:ascii="Arial" w:hAnsi="Arial" w:cs="Arial"/>
          <w:bCs/>
          <w:sz w:val="20"/>
          <w:szCs w:val="20"/>
          <w:lang w:val="es-CO"/>
        </w:rPr>
        <w:t>ueden</w:t>
      </w:r>
      <w:r w:rsidRPr="006717F3">
        <w:rPr>
          <w:rFonts w:ascii="Arial" w:hAnsi="Arial" w:cs="Arial"/>
          <w:bCs/>
          <w:sz w:val="20"/>
          <w:szCs w:val="20"/>
          <w:lang w:val="es-CO"/>
        </w:rPr>
        <w:t xml:space="preserve"> aplicar factores de ajuste a dichas tablas de mortalidad.</w:t>
      </w:r>
      <w:r w:rsidR="009B433F">
        <w:rPr>
          <w:rFonts w:ascii="Arial" w:hAnsi="Arial" w:cs="Arial"/>
          <w:bCs/>
          <w:sz w:val="20"/>
          <w:szCs w:val="20"/>
          <w:lang w:val="es-CO"/>
        </w:rPr>
        <w:t xml:space="preserve"> </w:t>
      </w:r>
      <w:r w:rsidRPr="00E43E99">
        <w:rPr>
          <w:rFonts w:ascii="Arial" w:hAnsi="Arial" w:cs="Arial"/>
          <w:bCs/>
          <w:sz w:val="20"/>
          <w:szCs w:val="20"/>
          <w:lang w:val="es-CO"/>
        </w:rPr>
        <w:t>Para los demás ramos,</w:t>
      </w:r>
      <w:r w:rsidR="00B11A24" w:rsidRPr="009B433F">
        <w:rPr>
          <w:rFonts w:ascii="Arial" w:hAnsi="Arial" w:cs="Arial"/>
          <w:bCs/>
          <w:sz w:val="20"/>
          <w:szCs w:val="20"/>
          <w:lang w:val="es-CO"/>
        </w:rPr>
        <w:t xml:space="preserve"> las entidades deben </w:t>
      </w:r>
      <w:r w:rsidRPr="00E43E99">
        <w:rPr>
          <w:rFonts w:ascii="Arial" w:hAnsi="Arial" w:cs="Arial"/>
          <w:bCs/>
          <w:sz w:val="20"/>
          <w:szCs w:val="20"/>
          <w:lang w:val="es-CO"/>
        </w:rPr>
        <w:t>emplear las tablas de mortalidad e invalidez de la SFC o podrán implementar tablas de mortalidad propias que reflejen su experiencia en el país.</w:t>
      </w:r>
    </w:p>
    <w:p w14:paraId="66A14BCF" w14:textId="77777777" w:rsidR="00B0479A" w:rsidRDefault="00B0479A" w:rsidP="009B433F">
      <w:pPr>
        <w:pStyle w:val="Prrafodelista"/>
        <w:spacing w:after="160" w:line="259" w:lineRule="auto"/>
        <w:ind w:left="567"/>
        <w:jc w:val="both"/>
        <w:rPr>
          <w:rFonts w:ascii="Arial" w:hAnsi="Arial" w:cs="Arial"/>
          <w:bCs/>
          <w:sz w:val="20"/>
          <w:szCs w:val="20"/>
          <w:lang w:val="es-CO"/>
        </w:rPr>
      </w:pPr>
    </w:p>
    <w:p w14:paraId="68BD90D0" w14:textId="326936C3" w:rsidR="007B4AAC" w:rsidRDefault="009474A8" w:rsidP="00B96BAE">
      <w:pPr>
        <w:pStyle w:val="Prrafodelista"/>
        <w:spacing w:after="160" w:line="259" w:lineRule="auto"/>
        <w:ind w:left="567"/>
        <w:jc w:val="both"/>
        <w:rPr>
          <w:rFonts w:ascii="Arial" w:hAnsi="Arial" w:cs="Arial"/>
          <w:sz w:val="20"/>
          <w:szCs w:val="20"/>
        </w:rPr>
      </w:pPr>
      <w:r w:rsidRPr="007A57BD">
        <w:rPr>
          <w:rFonts w:ascii="Arial" w:hAnsi="Arial" w:cs="Arial"/>
          <w:bCs/>
          <w:sz w:val="20"/>
          <w:szCs w:val="20"/>
          <w:lang w:val="es-CO"/>
        </w:rPr>
        <w:t>Para estos efectos,</w:t>
      </w:r>
      <w:r w:rsidR="00254ABC" w:rsidRPr="007A57BD">
        <w:rPr>
          <w:rFonts w:ascii="Arial" w:hAnsi="Arial" w:cs="Arial"/>
          <w:bCs/>
          <w:sz w:val="20"/>
          <w:szCs w:val="20"/>
          <w:lang w:val="es-CO"/>
        </w:rPr>
        <w:t xml:space="preserve"> </w:t>
      </w:r>
      <w:r w:rsidR="00FA248E" w:rsidRPr="007A57BD">
        <w:rPr>
          <w:rFonts w:ascii="Arial" w:hAnsi="Arial" w:cs="Arial"/>
          <w:bCs/>
          <w:sz w:val="20"/>
          <w:szCs w:val="20"/>
          <w:lang w:val="es-CO"/>
        </w:rPr>
        <w:t>de forma previa</w:t>
      </w:r>
      <w:r w:rsidR="00254ABC" w:rsidRPr="007A57BD">
        <w:rPr>
          <w:rFonts w:ascii="Arial" w:hAnsi="Arial" w:cs="Arial"/>
          <w:bCs/>
          <w:sz w:val="20"/>
          <w:szCs w:val="20"/>
          <w:lang w:val="es-CO"/>
        </w:rPr>
        <w:t xml:space="preserve"> a la implementación </w:t>
      </w:r>
      <w:r w:rsidRPr="007A57BD">
        <w:rPr>
          <w:rFonts w:ascii="Arial" w:hAnsi="Arial" w:cs="Arial"/>
          <w:bCs/>
          <w:sz w:val="20"/>
          <w:szCs w:val="20"/>
          <w:lang w:val="es-CO"/>
        </w:rPr>
        <w:t xml:space="preserve">de </w:t>
      </w:r>
      <w:r w:rsidR="00411AA1" w:rsidRPr="007A57BD">
        <w:rPr>
          <w:rFonts w:ascii="Arial" w:hAnsi="Arial" w:cs="Arial"/>
          <w:bCs/>
          <w:sz w:val="20"/>
          <w:szCs w:val="20"/>
          <w:lang w:val="es-CO"/>
        </w:rPr>
        <w:t xml:space="preserve">los </w:t>
      </w:r>
      <w:r w:rsidR="00A54F08">
        <w:rPr>
          <w:rFonts w:ascii="Arial" w:hAnsi="Arial" w:cs="Arial"/>
          <w:bCs/>
          <w:sz w:val="20"/>
          <w:szCs w:val="20"/>
          <w:lang w:val="es-CO"/>
        </w:rPr>
        <w:t xml:space="preserve">factores de ajuste </w:t>
      </w:r>
      <w:r w:rsidR="00420810">
        <w:rPr>
          <w:rFonts w:ascii="Arial" w:hAnsi="Arial" w:cs="Arial"/>
          <w:bCs/>
          <w:sz w:val="20"/>
          <w:szCs w:val="20"/>
          <w:lang w:val="es-CO"/>
        </w:rPr>
        <w:t>a</w:t>
      </w:r>
      <w:r w:rsidR="00A54F08">
        <w:rPr>
          <w:rFonts w:ascii="Arial" w:hAnsi="Arial" w:cs="Arial"/>
          <w:bCs/>
          <w:sz w:val="20"/>
          <w:szCs w:val="20"/>
          <w:lang w:val="es-CO"/>
        </w:rPr>
        <w:t xml:space="preserve"> las tablas de mortalidad</w:t>
      </w:r>
      <w:r w:rsidR="00411AA1" w:rsidRPr="007A57BD">
        <w:rPr>
          <w:rFonts w:ascii="Arial" w:hAnsi="Arial" w:cs="Arial"/>
          <w:bCs/>
          <w:sz w:val="20"/>
          <w:szCs w:val="20"/>
          <w:lang w:val="es-CO"/>
        </w:rPr>
        <w:t xml:space="preserve"> </w:t>
      </w:r>
      <w:r w:rsidR="00420810">
        <w:rPr>
          <w:rFonts w:ascii="Arial" w:hAnsi="Arial" w:cs="Arial"/>
          <w:bCs/>
          <w:sz w:val="20"/>
          <w:szCs w:val="20"/>
          <w:lang w:val="es-CO"/>
        </w:rPr>
        <w:t>de renti</w:t>
      </w:r>
      <w:r w:rsidR="003C0A6B">
        <w:rPr>
          <w:rFonts w:ascii="Arial" w:hAnsi="Arial" w:cs="Arial"/>
          <w:bCs/>
          <w:sz w:val="20"/>
          <w:szCs w:val="20"/>
          <w:lang w:val="es-CO"/>
        </w:rPr>
        <w:t xml:space="preserve">stas </w:t>
      </w:r>
      <w:r w:rsidR="00C20245">
        <w:rPr>
          <w:rFonts w:ascii="Arial" w:hAnsi="Arial" w:cs="Arial"/>
          <w:bCs/>
          <w:sz w:val="20"/>
          <w:szCs w:val="20"/>
          <w:lang w:val="es-CO"/>
        </w:rPr>
        <w:t xml:space="preserve">y de inválidos </w:t>
      </w:r>
      <w:r w:rsidR="00880DAB" w:rsidRPr="007A57BD">
        <w:rPr>
          <w:rFonts w:ascii="Arial" w:hAnsi="Arial" w:cs="Arial"/>
          <w:bCs/>
          <w:sz w:val="20"/>
          <w:szCs w:val="20"/>
          <w:lang w:val="es-CO"/>
        </w:rPr>
        <w:t xml:space="preserve">o </w:t>
      </w:r>
      <w:r w:rsidRPr="007A57BD">
        <w:rPr>
          <w:rFonts w:ascii="Arial" w:hAnsi="Arial" w:cs="Arial"/>
          <w:bCs/>
          <w:sz w:val="20"/>
          <w:szCs w:val="20"/>
          <w:lang w:val="es-CO"/>
        </w:rPr>
        <w:t xml:space="preserve">de </w:t>
      </w:r>
      <w:r w:rsidR="00880DAB" w:rsidRPr="007A57BD">
        <w:rPr>
          <w:rFonts w:ascii="Arial" w:hAnsi="Arial" w:cs="Arial"/>
          <w:bCs/>
          <w:sz w:val="20"/>
          <w:szCs w:val="20"/>
          <w:lang w:val="es-CO"/>
        </w:rPr>
        <w:t xml:space="preserve">la </w:t>
      </w:r>
      <w:r w:rsidRPr="007A57BD">
        <w:rPr>
          <w:rFonts w:ascii="Arial" w:hAnsi="Arial" w:cs="Arial"/>
          <w:bCs/>
          <w:sz w:val="20"/>
          <w:szCs w:val="20"/>
          <w:lang w:val="es-CO"/>
        </w:rPr>
        <w:t xml:space="preserve">adopción de </w:t>
      </w:r>
      <w:r w:rsidR="001F222A" w:rsidRPr="007A57BD">
        <w:rPr>
          <w:rFonts w:ascii="Arial" w:hAnsi="Arial" w:cs="Arial"/>
          <w:bCs/>
          <w:sz w:val="20"/>
          <w:szCs w:val="20"/>
          <w:lang w:val="es-CO"/>
        </w:rPr>
        <w:t xml:space="preserve">las </w:t>
      </w:r>
      <w:r w:rsidRPr="007A57BD">
        <w:rPr>
          <w:rFonts w:ascii="Arial" w:hAnsi="Arial" w:cs="Arial"/>
          <w:bCs/>
          <w:sz w:val="20"/>
          <w:szCs w:val="20"/>
          <w:lang w:val="es-CO"/>
        </w:rPr>
        <w:t>tablas propias</w:t>
      </w:r>
      <w:r w:rsidR="00333621">
        <w:rPr>
          <w:rFonts w:ascii="Arial" w:hAnsi="Arial" w:cs="Arial"/>
          <w:bCs/>
          <w:sz w:val="20"/>
          <w:szCs w:val="20"/>
          <w:lang w:val="es-CO"/>
        </w:rPr>
        <w:t xml:space="preserve">, según corresponda </w:t>
      </w:r>
      <w:r w:rsidR="00352B68">
        <w:rPr>
          <w:rFonts w:ascii="Arial" w:hAnsi="Arial" w:cs="Arial"/>
          <w:bCs/>
          <w:sz w:val="20"/>
          <w:szCs w:val="20"/>
          <w:lang w:val="es-CO"/>
        </w:rPr>
        <w:t>a cada</w:t>
      </w:r>
      <w:r w:rsidR="00B320BD">
        <w:rPr>
          <w:rFonts w:ascii="Arial" w:hAnsi="Arial" w:cs="Arial"/>
          <w:bCs/>
          <w:sz w:val="20"/>
          <w:szCs w:val="20"/>
          <w:lang w:val="es-CO"/>
        </w:rPr>
        <w:t xml:space="preserve"> ramo</w:t>
      </w:r>
      <w:r w:rsidRPr="007A57BD">
        <w:rPr>
          <w:rFonts w:ascii="Arial" w:hAnsi="Arial" w:cs="Arial"/>
          <w:bCs/>
          <w:sz w:val="20"/>
          <w:szCs w:val="20"/>
          <w:lang w:val="es-CO"/>
        </w:rPr>
        <w:t xml:space="preserve">, </w:t>
      </w:r>
      <w:r w:rsidR="00254ABC" w:rsidRPr="007A57BD">
        <w:rPr>
          <w:rFonts w:ascii="Arial" w:hAnsi="Arial" w:cs="Arial"/>
          <w:bCs/>
          <w:sz w:val="20"/>
          <w:szCs w:val="20"/>
          <w:lang w:val="es-CO"/>
        </w:rPr>
        <w:t xml:space="preserve">las entidades deben remitir a la SFC una solicitud de no </w:t>
      </w:r>
      <w:r w:rsidR="00254ABC" w:rsidRPr="00EF431C">
        <w:rPr>
          <w:rFonts w:ascii="Arial" w:hAnsi="Arial" w:cs="Arial"/>
          <w:bCs/>
          <w:sz w:val="20"/>
          <w:szCs w:val="20"/>
          <w:lang w:val="es-CO"/>
        </w:rPr>
        <w:t xml:space="preserve">objeción, incluyendo como mínimo: (i) </w:t>
      </w:r>
      <w:r w:rsidR="007B11C0">
        <w:rPr>
          <w:rFonts w:ascii="Arial" w:hAnsi="Arial" w:cs="Arial"/>
          <w:bCs/>
          <w:sz w:val="20"/>
          <w:szCs w:val="20"/>
          <w:lang w:val="es-CO"/>
        </w:rPr>
        <w:t xml:space="preserve">la </w:t>
      </w:r>
      <w:r w:rsidR="0023221A" w:rsidRPr="00EF431C">
        <w:rPr>
          <w:rFonts w:ascii="Arial" w:hAnsi="Arial" w:cs="Arial"/>
          <w:bCs/>
          <w:sz w:val="20"/>
          <w:szCs w:val="20"/>
          <w:lang w:val="es-CO"/>
        </w:rPr>
        <w:t xml:space="preserve">motivación de la solicitud </w:t>
      </w:r>
      <w:r w:rsidR="009662CE">
        <w:rPr>
          <w:rFonts w:ascii="Arial" w:hAnsi="Arial" w:cs="Arial"/>
          <w:bCs/>
          <w:sz w:val="20"/>
          <w:szCs w:val="20"/>
          <w:lang w:val="es-CO"/>
        </w:rPr>
        <w:t xml:space="preserve">y </w:t>
      </w:r>
      <w:r w:rsidR="00254ABC" w:rsidRPr="00EF431C">
        <w:rPr>
          <w:rFonts w:ascii="Arial" w:hAnsi="Arial" w:cs="Arial"/>
          <w:bCs/>
          <w:sz w:val="20"/>
          <w:szCs w:val="20"/>
          <w:lang w:val="es-CO"/>
        </w:rPr>
        <w:t xml:space="preserve">explicación detallada de la metodología utilizada para </w:t>
      </w:r>
      <w:r w:rsidR="00B65C70" w:rsidRPr="00EF431C">
        <w:rPr>
          <w:rFonts w:ascii="Arial" w:hAnsi="Arial" w:cs="Arial"/>
          <w:bCs/>
          <w:sz w:val="20"/>
          <w:szCs w:val="20"/>
          <w:lang w:val="es-CO"/>
        </w:rPr>
        <w:t>realizar los ajuste</w:t>
      </w:r>
      <w:r w:rsidR="00A75720" w:rsidRPr="00EF431C">
        <w:rPr>
          <w:rFonts w:ascii="Arial" w:hAnsi="Arial" w:cs="Arial"/>
          <w:bCs/>
          <w:sz w:val="20"/>
          <w:szCs w:val="20"/>
          <w:lang w:val="es-CO"/>
        </w:rPr>
        <w:t>s</w:t>
      </w:r>
      <w:r w:rsidR="00B65C70" w:rsidRPr="00EF431C">
        <w:rPr>
          <w:rFonts w:ascii="Arial" w:hAnsi="Arial" w:cs="Arial"/>
          <w:bCs/>
          <w:sz w:val="20"/>
          <w:szCs w:val="20"/>
          <w:lang w:val="es-CO"/>
        </w:rPr>
        <w:t xml:space="preserve"> o para calcula</w:t>
      </w:r>
      <w:r w:rsidR="00A75720" w:rsidRPr="00EF431C">
        <w:rPr>
          <w:rFonts w:ascii="Arial" w:hAnsi="Arial" w:cs="Arial"/>
          <w:bCs/>
          <w:sz w:val="20"/>
          <w:szCs w:val="20"/>
          <w:lang w:val="es-CO"/>
        </w:rPr>
        <w:t>r</w:t>
      </w:r>
      <w:r w:rsidR="00B65C70" w:rsidRPr="00EF431C">
        <w:rPr>
          <w:rFonts w:ascii="Arial" w:hAnsi="Arial" w:cs="Arial"/>
          <w:bCs/>
          <w:sz w:val="20"/>
          <w:szCs w:val="20"/>
          <w:lang w:val="es-CO"/>
        </w:rPr>
        <w:t xml:space="preserve"> las tablas propias</w:t>
      </w:r>
      <w:r w:rsidR="003B0857" w:rsidRPr="00EF431C">
        <w:rPr>
          <w:rFonts w:ascii="Arial" w:hAnsi="Arial" w:cs="Arial"/>
          <w:bCs/>
          <w:sz w:val="20"/>
          <w:szCs w:val="20"/>
          <w:lang w:val="es-CO"/>
        </w:rPr>
        <w:t>, así como los</w:t>
      </w:r>
      <w:r w:rsidR="00261455" w:rsidRPr="00EA5925">
        <w:rPr>
          <w:rFonts w:ascii="Arial" w:hAnsi="Arial" w:cs="Arial"/>
          <w:sz w:val="20"/>
          <w:szCs w:val="20"/>
          <w:lang w:val="es-CO"/>
        </w:rPr>
        <w:t xml:space="preserve"> argumentos técnicos y actuariales que sustentan </w:t>
      </w:r>
      <w:r w:rsidR="003B0857" w:rsidRPr="00EA5925">
        <w:rPr>
          <w:rFonts w:ascii="Arial" w:hAnsi="Arial" w:cs="Arial"/>
          <w:sz w:val="20"/>
          <w:szCs w:val="20"/>
          <w:lang w:val="es-CO"/>
        </w:rPr>
        <w:t>la aplicación</w:t>
      </w:r>
      <w:r w:rsidR="003B0857">
        <w:rPr>
          <w:rFonts w:ascii="Arial" w:hAnsi="Arial" w:cs="Arial"/>
          <w:sz w:val="20"/>
          <w:szCs w:val="20"/>
          <w:lang w:val="es-CO"/>
        </w:rPr>
        <w:t xml:space="preserve"> </w:t>
      </w:r>
      <w:r w:rsidR="003B0857" w:rsidRPr="00EA5925">
        <w:rPr>
          <w:rFonts w:ascii="Arial" w:hAnsi="Arial" w:cs="Arial"/>
          <w:sz w:val="20"/>
          <w:szCs w:val="20"/>
          <w:lang w:val="es-CO"/>
        </w:rPr>
        <w:t xml:space="preserve">de </w:t>
      </w:r>
      <w:r w:rsidR="00261455" w:rsidRPr="00EA5925">
        <w:rPr>
          <w:rFonts w:ascii="Arial" w:hAnsi="Arial" w:cs="Arial"/>
          <w:sz w:val="20"/>
          <w:szCs w:val="20"/>
          <w:lang w:val="es-CO"/>
        </w:rPr>
        <w:t xml:space="preserve">tablas de mortalidad distintas </w:t>
      </w:r>
      <w:r w:rsidR="007C7F2B">
        <w:rPr>
          <w:rFonts w:ascii="Arial" w:hAnsi="Arial" w:cs="Arial"/>
          <w:bCs/>
          <w:sz w:val="20"/>
          <w:szCs w:val="20"/>
          <w:lang w:val="es-CO"/>
        </w:rPr>
        <w:t>a</w:t>
      </w:r>
      <w:r w:rsidR="00261455" w:rsidRPr="00EA5925">
        <w:rPr>
          <w:rFonts w:ascii="Arial" w:hAnsi="Arial" w:cs="Arial"/>
          <w:sz w:val="20"/>
          <w:szCs w:val="20"/>
          <w:lang w:val="es-CO"/>
        </w:rPr>
        <w:t xml:space="preserve"> las establecidas por la SFC</w:t>
      </w:r>
      <w:r w:rsidR="00A75720" w:rsidRPr="00EA5925">
        <w:rPr>
          <w:rFonts w:ascii="Arial" w:hAnsi="Arial" w:cs="Arial"/>
          <w:sz w:val="20"/>
          <w:szCs w:val="20"/>
          <w:lang w:val="es-CO"/>
        </w:rPr>
        <w:t xml:space="preserve">; </w:t>
      </w:r>
      <w:r w:rsidR="00254ABC" w:rsidRPr="00EA5925">
        <w:rPr>
          <w:rFonts w:ascii="Arial" w:hAnsi="Arial" w:cs="Arial"/>
          <w:sz w:val="20"/>
          <w:szCs w:val="20"/>
          <w:lang w:val="es-CO"/>
        </w:rPr>
        <w:t>(</w:t>
      </w:r>
      <w:proofErr w:type="spellStart"/>
      <w:r w:rsidR="00254ABC" w:rsidRPr="00EA5925">
        <w:rPr>
          <w:rFonts w:ascii="Arial" w:hAnsi="Arial" w:cs="Arial"/>
          <w:sz w:val="20"/>
          <w:szCs w:val="20"/>
          <w:lang w:val="es-CO"/>
        </w:rPr>
        <w:t>ii</w:t>
      </w:r>
      <w:proofErr w:type="spellEnd"/>
      <w:r w:rsidR="00254ABC" w:rsidRPr="00EA5925">
        <w:rPr>
          <w:rFonts w:ascii="Arial" w:hAnsi="Arial" w:cs="Arial"/>
          <w:sz w:val="20"/>
          <w:szCs w:val="20"/>
          <w:lang w:val="es-CO"/>
        </w:rPr>
        <w:t xml:space="preserve">) </w:t>
      </w:r>
      <w:r w:rsidR="00BE76BC" w:rsidRPr="00EA5925">
        <w:rPr>
          <w:rFonts w:ascii="Arial" w:hAnsi="Arial" w:cs="Arial"/>
          <w:sz w:val="20"/>
          <w:szCs w:val="20"/>
          <w:lang w:val="es-CO"/>
        </w:rPr>
        <w:t>análisis que sustente las diferencias entre la</w:t>
      </w:r>
      <w:r w:rsidR="003501CC" w:rsidRPr="00EA5925">
        <w:rPr>
          <w:rFonts w:ascii="Arial" w:hAnsi="Arial" w:cs="Arial"/>
          <w:sz w:val="20"/>
          <w:szCs w:val="20"/>
          <w:lang w:val="es-CO"/>
        </w:rPr>
        <w:t>s tablas</w:t>
      </w:r>
      <w:r w:rsidR="003501CC" w:rsidRPr="00EA5925" w:rsidDel="003B0857">
        <w:rPr>
          <w:rFonts w:ascii="Arial" w:hAnsi="Arial" w:cs="Arial"/>
          <w:sz w:val="20"/>
          <w:szCs w:val="20"/>
          <w:lang w:val="es-CO"/>
        </w:rPr>
        <w:t xml:space="preserve"> </w:t>
      </w:r>
      <w:r w:rsidR="003501CC" w:rsidRPr="00EA5925">
        <w:rPr>
          <w:rFonts w:ascii="Arial" w:hAnsi="Arial" w:cs="Arial"/>
          <w:sz w:val="20"/>
          <w:szCs w:val="20"/>
          <w:lang w:val="es-CO"/>
        </w:rPr>
        <w:t>publicadas por la SFC</w:t>
      </w:r>
      <w:r w:rsidR="007A76C1" w:rsidRPr="00EA5925">
        <w:rPr>
          <w:rFonts w:ascii="Arial" w:hAnsi="Arial" w:cs="Arial"/>
          <w:sz w:val="20"/>
          <w:szCs w:val="20"/>
          <w:lang w:val="es-CO"/>
        </w:rPr>
        <w:t xml:space="preserve"> y las tablas propias de la entidad</w:t>
      </w:r>
      <w:r w:rsidR="002045AC">
        <w:rPr>
          <w:rFonts w:ascii="Arial" w:hAnsi="Arial" w:cs="Arial"/>
          <w:sz w:val="20"/>
          <w:szCs w:val="20"/>
          <w:lang w:val="es-CO"/>
        </w:rPr>
        <w:t xml:space="preserve"> o ajustadas</w:t>
      </w:r>
      <w:r w:rsidR="00254ABC" w:rsidRPr="00EA5925">
        <w:rPr>
          <w:rFonts w:ascii="Arial" w:hAnsi="Arial" w:cs="Arial"/>
          <w:sz w:val="20"/>
          <w:szCs w:val="20"/>
          <w:lang w:val="es-CO"/>
        </w:rPr>
        <w:t>;</w:t>
      </w:r>
      <w:r w:rsidR="00BE76BC" w:rsidRPr="00EA5925" w:rsidDel="007A57BD">
        <w:rPr>
          <w:rFonts w:ascii="Arial" w:hAnsi="Arial" w:cs="Arial"/>
          <w:sz w:val="20"/>
          <w:szCs w:val="20"/>
          <w:lang w:val="es-CO"/>
        </w:rPr>
        <w:t xml:space="preserve"> </w:t>
      </w:r>
      <w:r w:rsidR="00254ABC" w:rsidRPr="00EA5925">
        <w:rPr>
          <w:rFonts w:ascii="Arial" w:hAnsi="Arial" w:cs="Arial"/>
          <w:sz w:val="20"/>
          <w:szCs w:val="20"/>
          <w:lang w:val="es-CO"/>
        </w:rPr>
        <w:t>(</w:t>
      </w:r>
      <w:proofErr w:type="spellStart"/>
      <w:r w:rsidR="00254ABC" w:rsidRPr="00EA5925">
        <w:rPr>
          <w:rFonts w:ascii="Arial" w:hAnsi="Arial" w:cs="Arial"/>
          <w:sz w:val="20"/>
          <w:szCs w:val="20"/>
          <w:lang w:val="es-CO"/>
        </w:rPr>
        <w:t>i</w:t>
      </w:r>
      <w:r w:rsidR="004010E8" w:rsidRPr="00EA5925">
        <w:rPr>
          <w:rFonts w:ascii="Arial" w:hAnsi="Arial" w:cs="Arial"/>
          <w:sz w:val="20"/>
          <w:szCs w:val="20"/>
          <w:lang w:val="es-CO"/>
        </w:rPr>
        <w:t>ii</w:t>
      </w:r>
      <w:proofErr w:type="spellEnd"/>
      <w:r w:rsidR="00254ABC" w:rsidRPr="00EA5925">
        <w:rPr>
          <w:rFonts w:ascii="Arial" w:hAnsi="Arial" w:cs="Arial"/>
          <w:sz w:val="20"/>
          <w:szCs w:val="20"/>
          <w:lang w:val="es-CO"/>
        </w:rPr>
        <w:t xml:space="preserve">) </w:t>
      </w:r>
      <w:r w:rsidR="009138DE">
        <w:rPr>
          <w:rFonts w:ascii="Arial" w:hAnsi="Arial" w:cs="Arial"/>
          <w:sz w:val="20"/>
          <w:szCs w:val="20"/>
          <w:lang w:val="es-CO"/>
        </w:rPr>
        <w:t xml:space="preserve">análisis comparativo de </w:t>
      </w:r>
      <w:r w:rsidR="005876D0">
        <w:rPr>
          <w:rFonts w:ascii="Arial" w:hAnsi="Arial" w:cs="Arial"/>
          <w:sz w:val="20"/>
          <w:szCs w:val="20"/>
          <w:lang w:val="es-CO"/>
        </w:rPr>
        <w:t xml:space="preserve">los </w:t>
      </w:r>
      <w:r w:rsidR="00254ABC" w:rsidRPr="00EA5925">
        <w:rPr>
          <w:rFonts w:ascii="Arial" w:hAnsi="Arial" w:cs="Arial"/>
          <w:sz w:val="20"/>
          <w:szCs w:val="20"/>
          <w:lang w:val="es-CO"/>
        </w:rPr>
        <w:t xml:space="preserve">impactos estimados por la implementación </w:t>
      </w:r>
      <w:r w:rsidR="00A74E10" w:rsidRPr="00EA5925">
        <w:rPr>
          <w:rFonts w:ascii="Arial" w:hAnsi="Arial" w:cs="Arial"/>
          <w:sz w:val="20"/>
          <w:szCs w:val="20"/>
          <w:lang w:val="es-CO"/>
        </w:rPr>
        <w:t>de los ajustes o de las tablas propias</w:t>
      </w:r>
      <w:r w:rsidR="00254ABC" w:rsidRPr="00EA5925">
        <w:rPr>
          <w:rFonts w:ascii="Arial" w:hAnsi="Arial" w:cs="Arial"/>
          <w:sz w:val="20"/>
          <w:szCs w:val="20"/>
          <w:lang w:val="es-CO"/>
        </w:rPr>
        <w:t xml:space="preserve"> frente a los impactos por la aplicación </w:t>
      </w:r>
      <w:r w:rsidR="00A74E10" w:rsidRPr="00EA5925">
        <w:rPr>
          <w:rFonts w:ascii="Arial" w:hAnsi="Arial" w:cs="Arial"/>
          <w:sz w:val="20"/>
          <w:szCs w:val="20"/>
          <w:lang w:val="es-CO"/>
        </w:rPr>
        <w:t>de las tablas publicadas</w:t>
      </w:r>
      <w:r w:rsidR="00254ABC" w:rsidRPr="00EA5925">
        <w:rPr>
          <w:rFonts w:ascii="Arial" w:hAnsi="Arial" w:cs="Arial"/>
          <w:sz w:val="20"/>
          <w:szCs w:val="20"/>
          <w:lang w:val="es-CO"/>
        </w:rPr>
        <w:t xml:space="preserve"> por la SFC</w:t>
      </w:r>
      <w:r w:rsidR="007A57BD" w:rsidRPr="00EF431C">
        <w:rPr>
          <w:rFonts w:ascii="Arial" w:hAnsi="Arial" w:cs="Arial"/>
          <w:bCs/>
          <w:sz w:val="20"/>
          <w:szCs w:val="20"/>
          <w:lang w:val="es-CO"/>
        </w:rPr>
        <w:t>; y (</w:t>
      </w:r>
      <w:proofErr w:type="spellStart"/>
      <w:r w:rsidR="007A57BD" w:rsidRPr="00EF431C">
        <w:rPr>
          <w:rFonts w:ascii="Arial" w:hAnsi="Arial" w:cs="Arial"/>
          <w:bCs/>
          <w:sz w:val="20"/>
          <w:szCs w:val="20"/>
          <w:lang w:val="es-CO"/>
        </w:rPr>
        <w:t>iv</w:t>
      </w:r>
      <w:proofErr w:type="spellEnd"/>
      <w:r w:rsidR="007A57BD" w:rsidRPr="00EF431C">
        <w:rPr>
          <w:rFonts w:ascii="Arial" w:hAnsi="Arial" w:cs="Arial"/>
          <w:bCs/>
          <w:sz w:val="20"/>
          <w:szCs w:val="20"/>
          <w:lang w:val="es-CO"/>
        </w:rPr>
        <w:t xml:space="preserve">) </w:t>
      </w:r>
      <w:r w:rsidR="0064563C" w:rsidRPr="00E43E99">
        <w:rPr>
          <w:rFonts w:ascii="Arial" w:hAnsi="Arial" w:cs="Arial"/>
          <w:sz w:val="20"/>
          <w:szCs w:val="20"/>
        </w:rPr>
        <w:t>análisis realizado por el actuario responsable respecto de la metodología empleada para la definición de los factores de ajuste o de la tabla de mortalidad propia.</w:t>
      </w:r>
    </w:p>
    <w:p w14:paraId="7CA6B741" w14:textId="77777777" w:rsidR="007B11C0" w:rsidRPr="00B96BAE" w:rsidRDefault="007B11C0" w:rsidP="00B96BAE">
      <w:pPr>
        <w:pStyle w:val="Prrafodelista"/>
        <w:spacing w:after="160" w:line="259" w:lineRule="auto"/>
        <w:ind w:left="567"/>
        <w:jc w:val="both"/>
        <w:rPr>
          <w:rFonts w:ascii="Arial" w:hAnsi="Arial" w:cs="Arial"/>
          <w:sz w:val="18"/>
          <w:szCs w:val="18"/>
        </w:rPr>
      </w:pPr>
    </w:p>
    <w:p w14:paraId="32928666" w14:textId="405CE93B" w:rsidR="006A7AD2" w:rsidRDefault="001A4902" w:rsidP="00BE2CFC">
      <w:pPr>
        <w:pStyle w:val="Prrafodelista"/>
        <w:numPr>
          <w:ilvl w:val="0"/>
          <w:numId w:val="6"/>
        </w:numPr>
        <w:ind w:left="567" w:hanging="567"/>
        <w:jc w:val="both"/>
        <w:rPr>
          <w:rFonts w:ascii="Arial" w:hAnsi="Arial" w:cs="Arial"/>
          <w:bCs/>
          <w:sz w:val="20"/>
          <w:szCs w:val="20"/>
          <w:lang w:val="es-CO"/>
        </w:rPr>
      </w:pPr>
      <w:r w:rsidRPr="005D7823">
        <w:rPr>
          <w:rFonts w:ascii="Arial" w:hAnsi="Arial" w:cs="Arial"/>
          <w:bCs/>
          <w:sz w:val="20"/>
          <w:szCs w:val="20"/>
          <w:lang w:val="es-CO"/>
        </w:rPr>
        <w:lastRenderedPageBreak/>
        <w:t>El margen de servicio contractual de que trata el capítulo XXXV de la CBCF</w:t>
      </w:r>
      <w:r w:rsidR="005D7823">
        <w:rPr>
          <w:rFonts w:ascii="Arial" w:hAnsi="Arial" w:cs="Arial"/>
          <w:bCs/>
          <w:sz w:val="20"/>
          <w:szCs w:val="20"/>
          <w:lang w:val="es-CO"/>
        </w:rPr>
        <w:t>.</w:t>
      </w:r>
    </w:p>
    <w:p w14:paraId="79987EF6" w14:textId="77777777" w:rsidR="006A7AD2" w:rsidRDefault="006A7AD2" w:rsidP="006A7AD2">
      <w:pPr>
        <w:pStyle w:val="Prrafodelista"/>
        <w:ind w:left="567"/>
        <w:jc w:val="both"/>
        <w:rPr>
          <w:rFonts w:ascii="Arial" w:hAnsi="Arial" w:cs="Arial"/>
          <w:bCs/>
          <w:sz w:val="20"/>
          <w:szCs w:val="20"/>
          <w:lang w:val="es-CO"/>
        </w:rPr>
      </w:pPr>
    </w:p>
    <w:p w14:paraId="2CCBF55F" w14:textId="3F799E83" w:rsidR="00DF65CD" w:rsidRPr="00BD3644" w:rsidRDefault="00551F32" w:rsidP="00DF65CD">
      <w:pPr>
        <w:pStyle w:val="Prrafodelista"/>
        <w:ind w:left="567"/>
        <w:jc w:val="both"/>
        <w:rPr>
          <w:rFonts w:ascii="Arial" w:hAnsi="Arial" w:cs="Arial"/>
          <w:sz w:val="20"/>
          <w:szCs w:val="20"/>
          <w:lang w:val="es-CO"/>
        </w:rPr>
      </w:pPr>
      <w:r>
        <w:rPr>
          <w:rFonts w:ascii="Arial" w:hAnsi="Arial" w:cs="Arial"/>
          <w:sz w:val="20"/>
          <w:szCs w:val="20"/>
          <w:lang w:val="es-CO"/>
        </w:rPr>
        <w:t>De</w:t>
      </w:r>
      <w:r w:rsidR="00DF65CD" w:rsidRPr="00193053">
        <w:rPr>
          <w:rFonts w:ascii="Arial" w:hAnsi="Arial" w:cs="Arial"/>
          <w:sz w:val="20"/>
          <w:szCs w:val="20"/>
          <w:lang w:val="es-CO"/>
        </w:rPr>
        <w:t xml:space="preserve"> conformidad con </w:t>
      </w:r>
      <w:r w:rsidR="00317080">
        <w:rPr>
          <w:rFonts w:ascii="Arial" w:hAnsi="Arial" w:cs="Arial"/>
          <w:sz w:val="20"/>
          <w:szCs w:val="20"/>
          <w:lang w:val="es-CO"/>
        </w:rPr>
        <w:t xml:space="preserve">lo previsto en </w:t>
      </w:r>
      <w:r w:rsidR="00DF65CD" w:rsidRPr="00193053">
        <w:rPr>
          <w:rFonts w:ascii="Arial" w:hAnsi="Arial" w:cs="Arial"/>
          <w:sz w:val="20"/>
          <w:szCs w:val="20"/>
          <w:lang w:val="es-CO"/>
        </w:rPr>
        <w:t xml:space="preserve">el parágrafo 2 del artículo 2.31.4.3.2. del Decreto 2555 de 2010, </w:t>
      </w:r>
      <w:r w:rsidR="00DF65CD" w:rsidRPr="00193053">
        <w:rPr>
          <w:rFonts w:ascii="Arial" w:hAnsi="Arial" w:cs="Arial"/>
          <w:bCs/>
          <w:sz w:val="20"/>
          <w:szCs w:val="20"/>
          <w:lang w:val="es-MX"/>
        </w:rPr>
        <w:t>«para el caso de los flujos derivados de pensiones de invalidez y sobrevivencia, y prestaciones que conlleven a indemnizaciones vitalicias en ramo de riesgos laborales</w:t>
      </w:r>
      <w:r w:rsidR="002A1401">
        <w:rPr>
          <w:rFonts w:ascii="Arial" w:hAnsi="Arial" w:cs="Arial"/>
          <w:sz w:val="20"/>
          <w:szCs w:val="20"/>
          <w:lang w:val="es-CO"/>
        </w:rPr>
        <w:t xml:space="preserve"> se entenderá que</w:t>
      </w:r>
      <w:r w:rsidR="00DF65CD" w:rsidRPr="00193053">
        <w:rPr>
          <w:rFonts w:ascii="Arial" w:hAnsi="Arial" w:cs="Arial"/>
          <w:sz w:val="20"/>
          <w:szCs w:val="20"/>
          <w:lang w:val="es-CO"/>
        </w:rPr>
        <w:t xml:space="preserve"> la reserva matemática corresponde a un pasivo por siniestros incurridos</w:t>
      </w:r>
      <w:r w:rsidR="002E080C" w:rsidRPr="002D2258">
        <w:rPr>
          <w:rFonts w:ascii="Arial" w:hAnsi="Arial" w:cs="Arial"/>
          <w:sz w:val="20"/>
          <w:szCs w:val="20"/>
        </w:rPr>
        <w:t>»</w:t>
      </w:r>
      <w:r w:rsidR="00DF65CD" w:rsidRPr="00193053">
        <w:rPr>
          <w:rFonts w:ascii="Arial" w:hAnsi="Arial" w:cs="Arial"/>
          <w:sz w:val="20"/>
          <w:szCs w:val="20"/>
          <w:lang w:val="es-CO"/>
        </w:rPr>
        <w:t xml:space="preserve"> y</w:t>
      </w:r>
      <w:r w:rsidR="00B56E5D">
        <w:rPr>
          <w:rFonts w:ascii="Arial" w:hAnsi="Arial" w:cs="Arial"/>
          <w:sz w:val="20"/>
          <w:szCs w:val="20"/>
          <w:lang w:val="es-CO"/>
        </w:rPr>
        <w:t xml:space="preserve"> por tanto</w:t>
      </w:r>
      <w:r w:rsidR="00DF65CD" w:rsidRPr="00193053">
        <w:rPr>
          <w:rFonts w:ascii="Arial" w:hAnsi="Arial" w:cs="Arial"/>
          <w:sz w:val="20"/>
          <w:szCs w:val="20"/>
          <w:lang w:val="es-CO"/>
        </w:rPr>
        <w:t xml:space="preserve"> no contempla el margen de servicio contractual.</w:t>
      </w:r>
    </w:p>
    <w:p w14:paraId="27562D8F" w14:textId="77777777" w:rsidR="00FD27FD" w:rsidRDefault="00FD27FD" w:rsidP="00DF65CD">
      <w:pPr>
        <w:pStyle w:val="Prrafodelista"/>
        <w:ind w:left="567"/>
        <w:jc w:val="both"/>
        <w:rPr>
          <w:rFonts w:ascii="Arial" w:hAnsi="Arial" w:cs="Arial"/>
          <w:sz w:val="20"/>
          <w:szCs w:val="20"/>
          <w:lang w:val="es-CO"/>
        </w:rPr>
      </w:pPr>
    </w:p>
    <w:p w14:paraId="4ADA0227" w14:textId="45F6B0F0" w:rsidR="001A4902" w:rsidRPr="0090056B" w:rsidRDefault="008156D5" w:rsidP="00BE2CFC">
      <w:pPr>
        <w:pStyle w:val="Prrafodelista"/>
        <w:numPr>
          <w:ilvl w:val="0"/>
          <w:numId w:val="6"/>
        </w:numPr>
        <w:ind w:left="567" w:hanging="567"/>
        <w:jc w:val="both"/>
        <w:rPr>
          <w:rFonts w:ascii="Arial" w:hAnsi="Arial" w:cs="Arial"/>
          <w:b/>
          <w:sz w:val="20"/>
          <w:szCs w:val="20"/>
          <w:lang w:val="es-CO"/>
        </w:rPr>
      </w:pPr>
      <w:r>
        <w:rPr>
          <w:rFonts w:ascii="Arial" w:hAnsi="Arial" w:cs="Arial"/>
          <w:bCs/>
          <w:sz w:val="20"/>
          <w:szCs w:val="20"/>
          <w:lang w:val="es-CO"/>
        </w:rPr>
        <w:t xml:space="preserve">Para los </w:t>
      </w:r>
      <w:r w:rsidR="00AE6057">
        <w:rPr>
          <w:rFonts w:ascii="Arial" w:hAnsi="Arial" w:cs="Arial"/>
          <w:bCs/>
          <w:sz w:val="20"/>
          <w:szCs w:val="20"/>
          <w:lang w:val="es-CO"/>
        </w:rPr>
        <w:t xml:space="preserve">seguros de vida con componente de ahorro, </w:t>
      </w:r>
      <w:r w:rsidR="0043112E">
        <w:rPr>
          <w:rFonts w:ascii="Arial" w:hAnsi="Arial" w:cs="Arial"/>
          <w:bCs/>
          <w:sz w:val="20"/>
          <w:szCs w:val="20"/>
          <w:lang w:val="es-CO"/>
        </w:rPr>
        <w:t xml:space="preserve">se debe incluir el </w:t>
      </w:r>
      <w:r w:rsidR="00B67222">
        <w:rPr>
          <w:rFonts w:ascii="Arial" w:hAnsi="Arial" w:cs="Arial"/>
          <w:bCs/>
          <w:sz w:val="20"/>
          <w:szCs w:val="20"/>
          <w:lang w:val="es-CO"/>
        </w:rPr>
        <w:t xml:space="preserve">valor del fondo conformado </w:t>
      </w:r>
      <w:r w:rsidR="000D158C">
        <w:rPr>
          <w:rFonts w:ascii="Arial" w:hAnsi="Arial" w:cs="Arial"/>
          <w:bCs/>
          <w:sz w:val="20"/>
          <w:szCs w:val="20"/>
          <w:lang w:val="es-CO"/>
        </w:rPr>
        <w:t xml:space="preserve">por el ahorro y </w:t>
      </w:r>
      <w:r w:rsidR="00AD7314">
        <w:rPr>
          <w:rFonts w:ascii="Arial" w:hAnsi="Arial" w:cs="Arial"/>
          <w:bCs/>
          <w:sz w:val="20"/>
          <w:szCs w:val="20"/>
          <w:lang w:val="es-CO"/>
        </w:rPr>
        <w:t xml:space="preserve">los rendimientos generados por </w:t>
      </w:r>
      <w:r w:rsidR="00AF3434">
        <w:rPr>
          <w:rFonts w:ascii="Arial" w:hAnsi="Arial" w:cs="Arial"/>
          <w:bCs/>
          <w:sz w:val="20"/>
          <w:szCs w:val="20"/>
          <w:lang w:val="es-CO"/>
        </w:rPr>
        <w:t>é</w:t>
      </w:r>
      <w:r w:rsidR="00007F9C">
        <w:rPr>
          <w:rFonts w:ascii="Arial" w:hAnsi="Arial" w:cs="Arial"/>
          <w:bCs/>
          <w:sz w:val="20"/>
          <w:szCs w:val="20"/>
          <w:lang w:val="es-CO"/>
        </w:rPr>
        <w:t>ste</w:t>
      </w:r>
      <w:r w:rsidR="0052735E">
        <w:rPr>
          <w:rFonts w:ascii="Arial" w:hAnsi="Arial" w:cs="Arial"/>
          <w:bCs/>
          <w:sz w:val="20"/>
          <w:szCs w:val="20"/>
          <w:lang w:val="es-CO"/>
        </w:rPr>
        <w:t>,</w:t>
      </w:r>
      <w:r w:rsidR="00A97995">
        <w:rPr>
          <w:rFonts w:ascii="Arial" w:hAnsi="Arial" w:cs="Arial"/>
          <w:bCs/>
          <w:sz w:val="20"/>
          <w:szCs w:val="20"/>
          <w:lang w:val="es-CO"/>
        </w:rPr>
        <w:t xml:space="preserve"> </w:t>
      </w:r>
      <w:r w:rsidR="009F0DEF">
        <w:rPr>
          <w:rFonts w:ascii="Arial" w:hAnsi="Arial" w:cs="Arial"/>
          <w:bCs/>
          <w:sz w:val="20"/>
          <w:szCs w:val="20"/>
          <w:lang w:val="es-CO"/>
        </w:rPr>
        <w:t>teniendo en cuenta la</w:t>
      </w:r>
      <w:r w:rsidR="00A97995">
        <w:rPr>
          <w:rFonts w:ascii="Arial" w:hAnsi="Arial" w:cs="Arial"/>
          <w:bCs/>
          <w:sz w:val="20"/>
          <w:szCs w:val="20"/>
          <w:lang w:val="es-CO"/>
        </w:rPr>
        <w:t xml:space="preserve"> separación </w:t>
      </w:r>
      <w:r w:rsidR="00083667">
        <w:rPr>
          <w:rFonts w:ascii="Arial" w:hAnsi="Arial" w:cs="Arial"/>
          <w:bCs/>
          <w:sz w:val="20"/>
          <w:szCs w:val="20"/>
          <w:lang w:val="es-CO"/>
        </w:rPr>
        <w:t xml:space="preserve">de componentes de que trata el numeral 3.1. del capítulo </w:t>
      </w:r>
      <w:r w:rsidR="009E7AD7" w:rsidRPr="005D7823">
        <w:rPr>
          <w:rFonts w:ascii="Arial" w:hAnsi="Arial" w:cs="Arial"/>
          <w:bCs/>
          <w:sz w:val="20"/>
          <w:szCs w:val="20"/>
          <w:lang w:val="es-CO"/>
        </w:rPr>
        <w:t>XXXV de la CBCF</w:t>
      </w:r>
      <w:r w:rsidR="00145D6A">
        <w:rPr>
          <w:rFonts w:ascii="Arial" w:hAnsi="Arial" w:cs="Arial"/>
          <w:bCs/>
          <w:sz w:val="20"/>
          <w:szCs w:val="20"/>
          <w:lang w:val="es-CO"/>
        </w:rPr>
        <w:t xml:space="preserve">. Las entidades deben </w:t>
      </w:r>
      <w:r w:rsidR="00EE05DD">
        <w:rPr>
          <w:rFonts w:ascii="Arial" w:hAnsi="Arial" w:cs="Arial"/>
          <w:bCs/>
          <w:sz w:val="20"/>
          <w:szCs w:val="20"/>
          <w:lang w:val="es-CO"/>
        </w:rPr>
        <w:t xml:space="preserve">realizar el </w:t>
      </w:r>
      <w:r w:rsidR="00145D6A">
        <w:rPr>
          <w:rFonts w:ascii="Arial" w:hAnsi="Arial" w:cs="Arial"/>
          <w:bCs/>
          <w:sz w:val="20"/>
          <w:szCs w:val="20"/>
          <w:lang w:val="es-CO"/>
        </w:rPr>
        <w:t xml:space="preserve">análisis de separación de componentes </w:t>
      </w:r>
      <w:r w:rsidR="00EE05DD">
        <w:rPr>
          <w:rFonts w:ascii="Arial" w:hAnsi="Arial" w:cs="Arial"/>
          <w:bCs/>
          <w:sz w:val="20"/>
          <w:szCs w:val="20"/>
          <w:lang w:val="es-CO"/>
        </w:rPr>
        <w:t xml:space="preserve">atendiendo a las características </w:t>
      </w:r>
      <w:r w:rsidR="00306AE7">
        <w:rPr>
          <w:rFonts w:ascii="Arial" w:hAnsi="Arial" w:cs="Arial"/>
          <w:bCs/>
          <w:sz w:val="20"/>
          <w:szCs w:val="20"/>
          <w:lang w:val="es-CO"/>
        </w:rPr>
        <w:t>de cada uno de los productos</w:t>
      </w:r>
      <w:r w:rsidR="009F0DEF">
        <w:rPr>
          <w:rFonts w:ascii="Arial" w:hAnsi="Arial" w:cs="Arial"/>
          <w:bCs/>
          <w:sz w:val="20"/>
          <w:szCs w:val="20"/>
          <w:lang w:val="es-CO"/>
        </w:rPr>
        <w:t>,</w:t>
      </w:r>
      <w:r w:rsidR="00306AE7">
        <w:rPr>
          <w:rFonts w:ascii="Arial" w:hAnsi="Arial" w:cs="Arial"/>
          <w:bCs/>
          <w:sz w:val="20"/>
          <w:szCs w:val="20"/>
          <w:lang w:val="es-CO"/>
        </w:rPr>
        <w:t xml:space="preserve"> así como </w:t>
      </w:r>
      <w:r w:rsidR="00C45C6A">
        <w:rPr>
          <w:rFonts w:ascii="Arial" w:hAnsi="Arial" w:cs="Arial"/>
          <w:bCs/>
          <w:sz w:val="20"/>
          <w:szCs w:val="20"/>
          <w:lang w:val="es-CO"/>
        </w:rPr>
        <w:t xml:space="preserve">de </w:t>
      </w:r>
      <w:r w:rsidR="00881581">
        <w:rPr>
          <w:rFonts w:ascii="Arial" w:hAnsi="Arial" w:cs="Arial"/>
          <w:bCs/>
          <w:sz w:val="20"/>
          <w:szCs w:val="20"/>
          <w:lang w:val="es-CO"/>
        </w:rPr>
        <w:t xml:space="preserve">los términos </w:t>
      </w:r>
      <w:r w:rsidR="00FB0157">
        <w:rPr>
          <w:rFonts w:ascii="Arial" w:hAnsi="Arial" w:cs="Arial"/>
          <w:bCs/>
          <w:sz w:val="20"/>
          <w:szCs w:val="20"/>
          <w:lang w:val="es-CO"/>
        </w:rPr>
        <w:t>de los contratos de seguro.</w:t>
      </w:r>
      <w:r w:rsidR="009F0DEF">
        <w:rPr>
          <w:rFonts w:ascii="Arial" w:hAnsi="Arial" w:cs="Arial"/>
          <w:bCs/>
          <w:sz w:val="20"/>
          <w:szCs w:val="20"/>
          <w:lang w:val="es-CO"/>
        </w:rPr>
        <w:t xml:space="preserve"> </w:t>
      </w:r>
      <w:r w:rsidR="005C4C3E">
        <w:rPr>
          <w:rFonts w:ascii="Arial" w:hAnsi="Arial" w:cs="Arial"/>
          <w:bCs/>
          <w:sz w:val="20"/>
          <w:szCs w:val="20"/>
          <w:lang w:val="es-CO"/>
        </w:rPr>
        <w:t>De igual forma</w:t>
      </w:r>
      <w:r w:rsidR="0018169F">
        <w:rPr>
          <w:rFonts w:ascii="Arial" w:hAnsi="Arial" w:cs="Arial"/>
          <w:bCs/>
          <w:sz w:val="20"/>
          <w:szCs w:val="20"/>
          <w:lang w:val="es-CO"/>
        </w:rPr>
        <w:t>, deben documenta</w:t>
      </w:r>
      <w:r w:rsidR="00AF4BC9">
        <w:rPr>
          <w:rFonts w:ascii="Arial" w:hAnsi="Arial" w:cs="Arial"/>
          <w:bCs/>
          <w:sz w:val="20"/>
          <w:szCs w:val="20"/>
          <w:lang w:val="es-CO"/>
        </w:rPr>
        <w:t>r</w:t>
      </w:r>
      <w:r w:rsidR="0018169F">
        <w:rPr>
          <w:rFonts w:ascii="Arial" w:hAnsi="Arial" w:cs="Arial"/>
          <w:bCs/>
          <w:sz w:val="20"/>
          <w:szCs w:val="20"/>
          <w:lang w:val="es-CO"/>
        </w:rPr>
        <w:t xml:space="preserve"> el ejercicio </w:t>
      </w:r>
      <w:r w:rsidR="00DA61ED">
        <w:rPr>
          <w:rFonts w:ascii="Arial" w:hAnsi="Arial" w:cs="Arial"/>
          <w:bCs/>
          <w:sz w:val="20"/>
          <w:szCs w:val="20"/>
          <w:lang w:val="es-CO"/>
        </w:rPr>
        <w:t>de separación de componentes realizado</w:t>
      </w:r>
      <w:r w:rsidR="00A807D5">
        <w:rPr>
          <w:rFonts w:ascii="Arial" w:hAnsi="Arial" w:cs="Arial"/>
          <w:bCs/>
          <w:sz w:val="20"/>
          <w:szCs w:val="20"/>
          <w:lang w:val="es-CO"/>
        </w:rPr>
        <w:t xml:space="preserve"> y mantenerlo a disposición de la SFC</w:t>
      </w:r>
      <w:r w:rsidR="00DA61ED">
        <w:rPr>
          <w:rFonts w:ascii="Arial" w:hAnsi="Arial" w:cs="Arial"/>
          <w:bCs/>
          <w:sz w:val="20"/>
          <w:szCs w:val="20"/>
          <w:lang w:val="es-CO"/>
        </w:rPr>
        <w:t>.</w:t>
      </w:r>
    </w:p>
    <w:p w14:paraId="6427237F" w14:textId="77777777" w:rsidR="00107F76" w:rsidRDefault="00107F76" w:rsidP="00E268B0">
      <w:pPr>
        <w:jc w:val="both"/>
        <w:rPr>
          <w:rFonts w:ascii="Arial" w:hAnsi="Arial" w:cs="Arial"/>
          <w:b/>
          <w:sz w:val="20"/>
          <w:szCs w:val="20"/>
          <w:lang w:val="es-CO"/>
        </w:rPr>
      </w:pPr>
    </w:p>
    <w:p w14:paraId="545F3050" w14:textId="222428B4" w:rsidR="004B2486" w:rsidRPr="004B2486" w:rsidRDefault="004B2486" w:rsidP="004B2486">
      <w:pPr>
        <w:pStyle w:val="Prrafodelista"/>
        <w:numPr>
          <w:ilvl w:val="2"/>
          <w:numId w:val="1"/>
        </w:numPr>
        <w:ind w:left="851" w:hanging="851"/>
        <w:jc w:val="both"/>
        <w:rPr>
          <w:rFonts w:ascii="Arial" w:hAnsi="Arial" w:cs="Arial"/>
          <w:b/>
          <w:sz w:val="20"/>
          <w:szCs w:val="20"/>
          <w:lang w:val="es-CO"/>
        </w:rPr>
      </w:pPr>
      <w:r w:rsidRPr="004B2486">
        <w:rPr>
          <w:rFonts w:ascii="Arial" w:hAnsi="Arial" w:cs="Arial"/>
          <w:b/>
          <w:sz w:val="20"/>
          <w:szCs w:val="20"/>
          <w:lang w:val="es-CO"/>
        </w:rPr>
        <w:t xml:space="preserve">Reglas especiales para los seguros </w:t>
      </w:r>
      <w:r w:rsidR="009514E3">
        <w:rPr>
          <w:rFonts w:ascii="Arial" w:hAnsi="Arial" w:cs="Arial"/>
          <w:b/>
          <w:sz w:val="20"/>
          <w:szCs w:val="20"/>
          <w:lang w:val="es-CO"/>
        </w:rPr>
        <w:t>educativos</w:t>
      </w:r>
    </w:p>
    <w:p w14:paraId="255B9CE7" w14:textId="463465C0" w:rsidR="004B2486" w:rsidRPr="004B2486" w:rsidRDefault="004B2486" w:rsidP="004B2486">
      <w:pPr>
        <w:jc w:val="both"/>
        <w:rPr>
          <w:rFonts w:ascii="Arial" w:hAnsi="Arial" w:cs="Arial"/>
          <w:b/>
          <w:sz w:val="20"/>
          <w:szCs w:val="20"/>
          <w:lang w:val="es-CO"/>
        </w:rPr>
      </w:pPr>
    </w:p>
    <w:p w14:paraId="5D8B506E" w14:textId="360DAAEF" w:rsidR="004B2486" w:rsidRDefault="00794EC9" w:rsidP="00E268B0">
      <w:pPr>
        <w:jc w:val="both"/>
        <w:rPr>
          <w:rFonts w:ascii="Arial" w:hAnsi="Arial" w:cs="Arial"/>
          <w:bCs/>
          <w:sz w:val="20"/>
          <w:szCs w:val="20"/>
          <w:lang w:val="es-CO"/>
        </w:rPr>
      </w:pPr>
      <w:r>
        <w:rPr>
          <w:rFonts w:ascii="Arial" w:hAnsi="Arial" w:cs="Arial"/>
          <w:bCs/>
          <w:sz w:val="20"/>
          <w:szCs w:val="20"/>
          <w:lang w:val="es-CO"/>
        </w:rPr>
        <w:t xml:space="preserve">Además de las reglas </w:t>
      </w:r>
      <w:r w:rsidR="00AF1E1D">
        <w:rPr>
          <w:rFonts w:ascii="Arial" w:hAnsi="Arial" w:cs="Arial"/>
          <w:bCs/>
          <w:sz w:val="20"/>
          <w:szCs w:val="20"/>
          <w:lang w:val="es-CO"/>
        </w:rPr>
        <w:t xml:space="preserve">previstas en el numeral 5.2. del presente capítulo, para el cálculo de la reserva matemática </w:t>
      </w:r>
      <w:r w:rsidR="00035E59">
        <w:rPr>
          <w:rFonts w:ascii="Arial" w:hAnsi="Arial" w:cs="Arial"/>
          <w:bCs/>
          <w:sz w:val="20"/>
          <w:szCs w:val="20"/>
          <w:lang w:val="es-CO"/>
        </w:rPr>
        <w:t xml:space="preserve">de los seguros educativos </w:t>
      </w:r>
      <w:r w:rsidR="007E405F">
        <w:rPr>
          <w:rFonts w:ascii="Arial" w:hAnsi="Arial" w:cs="Arial"/>
          <w:bCs/>
          <w:sz w:val="20"/>
          <w:szCs w:val="20"/>
          <w:lang w:val="es-CO"/>
        </w:rPr>
        <w:t>las entidades</w:t>
      </w:r>
      <w:r w:rsidR="00035E59">
        <w:rPr>
          <w:rFonts w:ascii="Arial" w:hAnsi="Arial" w:cs="Arial"/>
          <w:bCs/>
          <w:sz w:val="20"/>
          <w:szCs w:val="20"/>
          <w:lang w:val="es-CO"/>
        </w:rPr>
        <w:t xml:space="preserve"> debe</w:t>
      </w:r>
      <w:r w:rsidR="007E405F">
        <w:rPr>
          <w:rFonts w:ascii="Arial" w:hAnsi="Arial" w:cs="Arial"/>
          <w:bCs/>
          <w:sz w:val="20"/>
          <w:szCs w:val="20"/>
          <w:lang w:val="es-CO"/>
        </w:rPr>
        <w:t>n</w:t>
      </w:r>
      <w:r w:rsidR="00035E59">
        <w:rPr>
          <w:rFonts w:ascii="Arial" w:hAnsi="Arial" w:cs="Arial"/>
          <w:bCs/>
          <w:sz w:val="20"/>
          <w:szCs w:val="20"/>
          <w:lang w:val="es-CO"/>
        </w:rPr>
        <w:t xml:space="preserve"> dar aplicación a los lineamientos del artículo 2.31.</w:t>
      </w:r>
      <w:r w:rsidR="008D6D23">
        <w:rPr>
          <w:rFonts w:ascii="Arial" w:hAnsi="Arial" w:cs="Arial"/>
          <w:bCs/>
          <w:sz w:val="20"/>
          <w:szCs w:val="20"/>
          <w:lang w:val="es-CO"/>
        </w:rPr>
        <w:t>5.2.4. del Decreto 2555 de 2010.</w:t>
      </w:r>
    </w:p>
    <w:p w14:paraId="35C19808" w14:textId="77777777" w:rsidR="006C6CD1" w:rsidRPr="00794EC9" w:rsidRDefault="006C6CD1" w:rsidP="00E268B0">
      <w:pPr>
        <w:jc w:val="both"/>
        <w:rPr>
          <w:rFonts w:ascii="Arial" w:hAnsi="Arial" w:cs="Arial"/>
          <w:bCs/>
          <w:sz w:val="20"/>
          <w:szCs w:val="20"/>
          <w:lang w:val="es-CO"/>
        </w:rPr>
      </w:pPr>
    </w:p>
    <w:p w14:paraId="1537EA0A" w14:textId="7AADDF87" w:rsidR="006C6CD1" w:rsidRPr="004B2486" w:rsidRDefault="006C6CD1" w:rsidP="006C6CD1">
      <w:pPr>
        <w:pStyle w:val="Prrafodelista"/>
        <w:numPr>
          <w:ilvl w:val="2"/>
          <w:numId w:val="1"/>
        </w:numPr>
        <w:ind w:left="851" w:hanging="851"/>
        <w:jc w:val="both"/>
        <w:rPr>
          <w:rFonts w:ascii="Arial" w:hAnsi="Arial" w:cs="Arial"/>
          <w:b/>
          <w:sz w:val="20"/>
          <w:szCs w:val="20"/>
          <w:lang w:val="es-CO"/>
        </w:rPr>
      </w:pPr>
      <w:r w:rsidRPr="004B2486">
        <w:rPr>
          <w:rFonts w:ascii="Arial" w:hAnsi="Arial" w:cs="Arial"/>
          <w:b/>
          <w:sz w:val="20"/>
          <w:szCs w:val="20"/>
          <w:lang w:val="es-CO"/>
        </w:rPr>
        <w:t xml:space="preserve">Reglas especiales para los </w:t>
      </w:r>
      <w:r>
        <w:rPr>
          <w:rFonts w:ascii="Arial" w:hAnsi="Arial" w:cs="Arial"/>
          <w:b/>
          <w:sz w:val="20"/>
          <w:szCs w:val="20"/>
          <w:lang w:val="es-CO"/>
        </w:rPr>
        <w:t xml:space="preserve">seguros de </w:t>
      </w:r>
      <w:r w:rsidR="00F16616">
        <w:rPr>
          <w:rFonts w:ascii="Arial" w:hAnsi="Arial" w:cs="Arial"/>
          <w:b/>
          <w:sz w:val="20"/>
          <w:szCs w:val="20"/>
          <w:lang w:val="es-CO"/>
        </w:rPr>
        <w:t>vida individual</w:t>
      </w:r>
    </w:p>
    <w:p w14:paraId="1D1A4E10" w14:textId="77777777" w:rsidR="006C6CD1" w:rsidRPr="004B2486" w:rsidRDefault="006C6CD1" w:rsidP="006C6CD1">
      <w:pPr>
        <w:jc w:val="both"/>
        <w:rPr>
          <w:rFonts w:ascii="Arial" w:hAnsi="Arial" w:cs="Arial"/>
          <w:b/>
          <w:sz w:val="20"/>
          <w:szCs w:val="20"/>
          <w:lang w:val="es-CO"/>
        </w:rPr>
      </w:pPr>
    </w:p>
    <w:p w14:paraId="1156F83D" w14:textId="159F6842" w:rsidR="00366257" w:rsidRDefault="005A5241" w:rsidP="006C6CD1">
      <w:pPr>
        <w:jc w:val="both"/>
        <w:rPr>
          <w:rFonts w:ascii="Arial" w:hAnsi="Arial" w:cs="Arial"/>
          <w:bCs/>
          <w:sz w:val="20"/>
          <w:szCs w:val="20"/>
          <w:lang w:val="es-CO"/>
        </w:rPr>
      </w:pPr>
      <w:r>
        <w:rPr>
          <w:rFonts w:ascii="Arial" w:hAnsi="Arial" w:cs="Arial"/>
          <w:bCs/>
          <w:sz w:val="20"/>
          <w:szCs w:val="20"/>
          <w:lang w:val="es-CO"/>
        </w:rPr>
        <w:t xml:space="preserve">Para efectos </w:t>
      </w:r>
      <w:r w:rsidR="00D029DA">
        <w:rPr>
          <w:rFonts w:ascii="Arial" w:hAnsi="Arial" w:cs="Arial"/>
          <w:bCs/>
          <w:sz w:val="20"/>
          <w:szCs w:val="20"/>
          <w:lang w:val="es-CO"/>
        </w:rPr>
        <w:t>de</w:t>
      </w:r>
      <w:r w:rsidR="00E76456">
        <w:rPr>
          <w:rFonts w:ascii="Arial" w:hAnsi="Arial" w:cs="Arial"/>
          <w:bCs/>
          <w:sz w:val="20"/>
          <w:szCs w:val="20"/>
          <w:lang w:val="es-CO"/>
        </w:rPr>
        <w:t xml:space="preserve"> la mejor estimación de la reserva matemática del ramo de seguros de vida individual, las entidades deben contemplar, como mínimo, todos los flujos</w:t>
      </w:r>
      <w:r w:rsidR="000F4054">
        <w:rPr>
          <w:rFonts w:ascii="Arial" w:hAnsi="Arial" w:cs="Arial"/>
          <w:bCs/>
          <w:sz w:val="20"/>
          <w:szCs w:val="20"/>
          <w:lang w:val="es-CO"/>
        </w:rPr>
        <w:t>,</w:t>
      </w:r>
      <w:r w:rsidR="00E76456">
        <w:rPr>
          <w:rFonts w:ascii="Arial" w:hAnsi="Arial" w:cs="Arial"/>
          <w:bCs/>
          <w:sz w:val="20"/>
          <w:szCs w:val="20"/>
          <w:lang w:val="es-CO"/>
        </w:rPr>
        <w:t xml:space="preserve"> rubros </w:t>
      </w:r>
      <w:r w:rsidR="000F4054">
        <w:rPr>
          <w:rFonts w:ascii="Arial" w:hAnsi="Arial" w:cs="Arial"/>
          <w:bCs/>
          <w:sz w:val="20"/>
          <w:szCs w:val="20"/>
          <w:lang w:val="es-CO"/>
        </w:rPr>
        <w:t xml:space="preserve">y conceptos </w:t>
      </w:r>
      <w:r w:rsidR="008325F0">
        <w:rPr>
          <w:rFonts w:ascii="Arial" w:hAnsi="Arial" w:cs="Arial"/>
          <w:bCs/>
          <w:sz w:val="20"/>
          <w:szCs w:val="20"/>
          <w:lang w:val="es-CO"/>
        </w:rPr>
        <w:t>relevantes</w:t>
      </w:r>
      <w:r w:rsidR="00E76456">
        <w:rPr>
          <w:rFonts w:ascii="Arial" w:hAnsi="Arial" w:cs="Arial"/>
          <w:bCs/>
          <w:sz w:val="20"/>
          <w:szCs w:val="20"/>
          <w:lang w:val="es-CO"/>
        </w:rPr>
        <w:t xml:space="preserve">, así como los demás </w:t>
      </w:r>
      <w:r w:rsidR="000F4054">
        <w:rPr>
          <w:rFonts w:ascii="Arial" w:hAnsi="Arial" w:cs="Arial"/>
          <w:bCs/>
          <w:sz w:val="20"/>
          <w:szCs w:val="20"/>
          <w:lang w:val="es-CO"/>
        </w:rPr>
        <w:t xml:space="preserve">asuntos que resulten necesarios de acuerdo con el numeral 3 del presente capítulo. </w:t>
      </w:r>
      <w:r w:rsidR="00F65305">
        <w:rPr>
          <w:rFonts w:ascii="Arial" w:hAnsi="Arial" w:cs="Arial"/>
          <w:bCs/>
          <w:sz w:val="20"/>
          <w:szCs w:val="20"/>
          <w:lang w:val="es-CO"/>
        </w:rPr>
        <w:t>La</w:t>
      </w:r>
      <w:r w:rsidR="00800AC7">
        <w:rPr>
          <w:rFonts w:ascii="Arial" w:hAnsi="Arial" w:cs="Arial"/>
          <w:bCs/>
          <w:sz w:val="20"/>
          <w:szCs w:val="20"/>
          <w:lang w:val="es-CO"/>
        </w:rPr>
        <w:t xml:space="preserve">s entidades deben mantener </w:t>
      </w:r>
      <w:r w:rsidR="009C694D">
        <w:rPr>
          <w:rFonts w:ascii="Arial" w:hAnsi="Arial" w:cs="Arial"/>
          <w:bCs/>
          <w:sz w:val="20"/>
          <w:szCs w:val="20"/>
          <w:lang w:val="es-CO"/>
        </w:rPr>
        <w:t>a disposición de la SFC toda la información relacionada con la mejor estimación de</w:t>
      </w:r>
      <w:r w:rsidR="008F05B6">
        <w:rPr>
          <w:rFonts w:ascii="Arial" w:hAnsi="Arial" w:cs="Arial"/>
          <w:bCs/>
          <w:sz w:val="20"/>
          <w:szCs w:val="20"/>
          <w:lang w:val="es-CO"/>
        </w:rPr>
        <w:t xml:space="preserve"> esta</w:t>
      </w:r>
      <w:r w:rsidR="009C694D">
        <w:rPr>
          <w:rFonts w:ascii="Arial" w:hAnsi="Arial" w:cs="Arial"/>
          <w:bCs/>
          <w:sz w:val="20"/>
          <w:szCs w:val="20"/>
          <w:lang w:val="es-CO"/>
        </w:rPr>
        <w:t xml:space="preserve"> reserva</w:t>
      </w:r>
      <w:r w:rsidR="0069313F">
        <w:rPr>
          <w:rFonts w:ascii="Arial" w:hAnsi="Arial" w:cs="Arial"/>
          <w:bCs/>
          <w:sz w:val="20"/>
          <w:szCs w:val="20"/>
          <w:lang w:val="es-CO"/>
        </w:rPr>
        <w:t>,</w:t>
      </w:r>
      <w:r w:rsidR="001A2EF3">
        <w:rPr>
          <w:rFonts w:ascii="Arial" w:hAnsi="Arial" w:cs="Arial"/>
          <w:bCs/>
          <w:sz w:val="20"/>
          <w:szCs w:val="20"/>
          <w:lang w:val="es-CO"/>
        </w:rPr>
        <w:t xml:space="preserve"> así como la del anexo 5 del presente capítulo</w:t>
      </w:r>
      <w:r w:rsidR="00D964D8">
        <w:rPr>
          <w:rFonts w:ascii="Arial" w:hAnsi="Arial" w:cs="Arial"/>
          <w:bCs/>
          <w:sz w:val="20"/>
          <w:szCs w:val="20"/>
          <w:lang w:val="es-CO"/>
        </w:rPr>
        <w:t>.</w:t>
      </w:r>
    </w:p>
    <w:p w14:paraId="03B4FB63" w14:textId="77777777" w:rsidR="00366257" w:rsidRDefault="00366257" w:rsidP="006C6CD1">
      <w:pPr>
        <w:jc w:val="both"/>
        <w:rPr>
          <w:rFonts w:ascii="Arial" w:hAnsi="Arial" w:cs="Arial"/>
          <w:bCs/>
          <w:sz w:val="20"/>
          <w:szCs w:val="20"/>
          <w:lang w:val="es-CO"/>
        </w:rPr>
      </w:pPr>
    </w:p>
    <w:p w14:paraId="7D27FBB6" w14:textId="3639E0C8" w:rsidR="00CF484F" w:rsidRPr="004D1D16" w:rsidRDefault="00D964D8" w:rsidP="00E268B0">
      <w:pPr>
        <w:jc w:val="both"/>
        <w:rPr>
          <w:rFonts w:ascii="Arial" w:hAnsi="Arial" w:cs="Arial"/>
          <w:bCs/>
          <w:sz w:val="20"/>
          <w:szCs w:val="20"/>
          <w:lang w:val="es-CO"/>
        </w:rPr>
      </w:pPr>
      <w:r>
        <w:rPr>
          <w:rFonts w:ascii="Arial" w:hAnsi="Arial" w:cs="Arial"/>
          <w:bCs/>
          <w:sz w:val="20"/>
          <w:szCs w:val="20"/>
          <w:lang w:val="es-CO"/>
        </w:rPr>
        <w:t>Cuando l</w:t>
      </w:r>
      <w:r w:rsidR="00393801">
        <w:rPr>
          <w:rFonts w:ascii="Arial" w:hAnsi="Arial" w:cs="Arial"/>
          <w:bCs/>
          <w:sz w:val="20"/>
          <w:szCs w:val="20"/>
          <w:lang w:val="es-CO"/>
        </w:rPr>
        <w:t>a</w:t>
      </w:r>
      <w:r>
        <w:rPr>
          <w:rFonts w:ascii="Arial" w:hAnsi="Arial" w:cs="Arial"/>
          <w:bCs/>
          <w:sz w:val="20"/>
          <w:szCs w:val="20"/>
          <w:lang w:val="es-CO"/>
        </w:rPr>
        <w:t xml:space="preserve"> SFC requiera la presentación de </w:t>
      </w:r>
      <w:r w:rsidR="00B25820">
        <w:rPr>
          <w:rFonts w:ascii="Arial" w:hAnsi="Arial" w:cs="Arial"/>
          <w:bCs/>
          <w:sz w:val="20"/>
          <w:szCs w:val="20"/>
          <w:lang w:val="es-CO"/>
        </w:rPr>
        <w:t xml:space="preserve">dicha </w:t>
      </w:r>
      <w:r>
        <w:rPr>
          <w:rFonts w:ascii="Arial" w:hAnsi="Arial" w:cs="Arial"/>
          <w:bCs/>
          <w:sz w:val="20"/>
          <w:szCs w:val="20"/>
          <w:lang w:val="es-CO"/>
        </w:rPr>
        <w:t xml:space="preserve">información, los flujos, rubros y conceptos señalados en el anexo 5 del presente capítulo deben remitirse en el </w:t>
      </w:r>
      <w:r w:rsidR="00216F00">
        <w:rPr>
          <w:rFonts w:ascii="Arial" w:hAnsi="Arial" w:cs="Arial"/>
          <w:bCs/>
          <w:sz w:val="20"/>
          <w:szCs w:val="20"/>
          <w:lang w:val="es-CO"/>
        </w:rPr>
        <w:t>esquema</w:t>
      </w:r>
      <w:r>
        <w:rPr>
          <w:rFonts w:ascii="Arial" w:hAnsi="Arial" w:cs="Arial"/>
          <w:bCs/>
          <w:sz w:val="20"/>
          <w:szCs w:val="20"/>
          <w:lang w:val="es-CO"/>
        </w:rPr>
        <w:t xml:space="preserve"> señalado en dicho anexo.</w:t>
      </w:r>
    </w:p>
    <w:p w14:paraId="7F6D2C92" w14:textId="77777777" w:rsidR="00CF484F" w:rsidRDefault="00CF484F" w:rsidP="00E268B0">
      <w:pPr>
        <w:jc w:val="both"/>
        <w:rPr>
          <w:rFonts w:ascii="Arial" w:hAnsi="Arial" w:cs="Arial"/>
          <w:b/>
          <w:sz w:val="20"/>
          <w:szCs w:val="20"/>
          <w:lang w:val="es-CO"/>
        </w:rPr>
      </w:pPr>
    </w:p>
    <w:p w14:paraId="30F7C6EE" w14:textId="2161D9D0" w:rsidR="00636196" w:rsidRPr="009346FB" w:rsidRDefault="00636196" w:rsidP="00636196">
      <w:pPr>
        <w:pStyle w:val="Prrafodelista"/>
        <w:numPr>
          <w:ilvl w:val="2"/>
          <w:numId w:val="1"/>
        </w:numPr>
        <w:ind w:left="851" w:hanging="851"/>
        <w:jc w:val="both"/>
        <w:rPr>
          <w:rFonts w:ascii="Arial" w:hAnsi="Arial" w:cs="Arial"/>
          <w:b/>
          <w:sz w:val="20"/>
          <w:szCs w:val="20"/>
          <w:lang w:val="es-CO"/>
        </w:rPr>
      </w:pPr>
      <w:r w:rsidRPr="009346FB">
        <w:rPr>
          <w:rFonts w:ascii="Arial" w:hAnsi="Arial" w:cs="Arial"/>
          <w:b/>
          <w:sz w:val="20"/>
          <w:szCs w:val="20"/>
          <w:lang w:val="es-CO"/>
        </w:rPr>
        <w:t xml:space="preserve">Reglas especiales para los seguros de vida </w:t>
      </w:r>
      <w:r w:rsidR="00D029DA" w:rsidRPr="009346FB">
        <w:rPr>
          <w:rFonts w:ascii="Arial" w:hAnsi="Arial" w:cs="Arial"/>
          <w:b/>
          <w:sz w:val="20"/>
          <w:szCs w:val="20"/>
          <w:lang w:val="es-CO"/>
        </w:rPr>
        <w:t>con ahorro</w:t>
      </w:r>
    </w:p>
    <w:p w14:paraId="2C976736" w14:textId="77777777" w:rsidR="00636196" w:rsidRPr="004B2486" w:rsidRDefault="00636196" w:rsidP="00636196">
      <w:pPr>
        <w:jc w:val="both"/>
        <w:rPr>
          <w:rFonts w:ascii="Arial" w:hAnsi="Arial" w:cs="Arial"/>
          <w:b/>
          <w:sz w:val="20"/>
          <w:szCs w:val="20"/>
          <w:lang w:val="es-CO"/>
        </w:rPr>
      </w:pPr>
    </w:p>
    <w:p w14:paraId="52C77DB7" w14:textId="4E975180" w:rsidR="00EF044A" w:rsidRDefault="00787E21" w:rsidP="00E268B0">
      <w:pPr>
        <w:jc w:val="both"/>
        <w:rPr>
          <w:rFonts w:ascii="Arial" w:hAnsi="Arial" w:cs="Arial"/>
          <w:bCs/>
          <w:sz w:val="20"/>
          <w:szCs w:val="20"/>
          <w:lang w:val="es-CO"/>
        </w:rPr>
      </w:pPr>
      <w:r>
        <w:rPr>
          <w:rFonts w:ascii="Arial" w:hAnsi="Arial" w:cs="Arial"/>
          <w:bCs/>
          <w:sz w:val="20"/>
          <w:szCs w:val="20"/>
          <w:lang w:val="es-CO"/>
        </w:rPr>
        <w:t>Para el caso de l</w:t>
      </w:r>
      <w:r w:rsidRPr="00787E21">
        <w:rPr>
          <w:rFonts w:ascii="Arial" w:hAnsi="Arial" w:cs="Arial"/>
          <w:bCs/>
          <w:sz w:val="20"/>
          <w:szCs w:val="20"/>
          <w:lang w:val="es-CO"/>
        </w:rPr>
        <w:t>os seguros de vida individual con ahorro, en los cuales el asegurado paga una prima de ahorro puro</w:t>
      </w:r>
      <w:r w:rsidR="00A628D5">
        <w:rPr>
          <w:rFonts w:ascii="Arial" w:hAnsi="Arial" w:cs="Arial"/>
          <w:bCs/>
          <w:sz w:val="20"/>
          <w:szCs w:val="20"/>
          <w:lang w:val="es-CO"/>
        </w:rPr>
        <w:t>,</w:t>
      </w:r>
      <w:r>
        <w:rPr>
          <w:rFonts w:ascii="Arial" w:hAnsi="Arial" w:cs="Arial"/>
          <w:bCs/>
          <w:sz w:val="20"/>
          <w:szCs w:val="20"/>
          <w:lang w:val="es-CO"/>
        </w:rPr>
        <w:t xml:space="preserve"> y que</w:t>
      </w:r>
      <w:r w:rsidRPr="00787E21">
        <w:rPr>
          <w:rFonts w:ascii="Arial" w:hAnsi="Arial" w:cs="Arial"/>
          <w:bCs/>
          <w:sz w:val="20"/>
          <w:szCs w:val="20"/>
          <w:lang w:val="es-CO"/>
        </w:rPr>
        <w:t xml:space="preserve"> no corresponden a los </w:t>
      </w:r>
      <w:r>
        <w:rPr>
          <w:rFonts w:ascii="Arial" w:hAnsi="Arial" w:cs="Arial"/>
          <w:bCs/>
          <w:sz w:val="20"/>
          <w:szCs w:val="20"/>
          <w:lang w:val="es-CO"/>
        </w:rPr>
        <w:t>seguros</w:t>
      </w:r>
      <w:r w:rsidR="000E7156">
        <w:rPr>
          <w:rFonts w:ascii="Arial" w:hAnsi="Arial" w:cs="Arial"/>
          <w:bCs/>
          <w:sz w:val="20"/>
          <w:szCs w:val="20"/>
          <w:lang w:val="es-CO"/>
        </w:rPr>
        <w:t xml:space="preserve"> con participación</w:t>
      </w:r>
      <w:r>
        <w:rPr>
          <w:rFonts w:ascii="Arial" w:hAnsi="Arial" w:cs="Arial"/>
          <w:bCs/>
          <w:sz w:val="20"/>
          <w:szCs w:val="20"/>
          <w:lang w:val="es-CO"/>
        </w:rPr>
        <w:t xml:space="preserve"> </w:t>
      </w:r>
      <w:r w:rsidR="0049123C">
        <w:rPr>
          <w:rFonts w:ascii="Arial" w:hAnsi="Arial" w:cs="Arial"/>
          <w:bCs/>
          <w:sz w:val="20"/>
          <w:szCs w:val="20"/>
          <w:lang w:val="es-CO"/>
        </w:rPr>
        <w:t>a los que se refiere</w:t>
      </w:r>
      <w:r w:rsidR="005F5CB4">
        <w:rPr>
          <w:rFonts w:ascii="Arial" w:hAnsi="Arial" w:cs="Arial"/>
          <w:bCs/>
          <w:sz w:val="20"/>
          <w:szCs w:val="20"/>
          <w:lang w:val="es-CO"/>
        </w:rPr>
        <w:t xml:space="preserve"> </w:t>
      </w:r>
      <w:r w:rsidRPr="00787E21">
        <w:rPr>
          <w:rFonts w:ascii="Arial" w:hAnsi="Arial" w:cs="Arial"/>
          <w:bCs/>
          <w:sz w:val="20"/>
          <w:szCs w:val="20"/>
          <w:lang w:val="es-CO"/>
        </w:rPr>
        <w:t>el art</w:t>
      </w:r>
      <w:r w:rsidR="005F5CB4">
        <w:rPr>
          <w:rFonts w:ascii="Arial" w:hAnsi="Arial" w:cs="Arial"/>
          <w:bCs/>
          <w:sz w:val="20"/>
          <w:szCs w:val="20"/>
          <w:lang w:val="es-CO"/>
        </w:rPr>
        <w:t>ículo</w:t>
      </w:r>
      <w:r w:rsidRPr="00787E21">
        <w:rPr>
          <w:rFonts w:ascii="Arial" w:hAnsi="Arial" w:cs="Arial"/>
          <w:bCs/>
          <w:sz w:val="20"/>
          <w:szCs w:val="20"/>
          <w:lang w:val="es-CO"/>
        </w:rPr>
        <w:t xml:space="preserve"> 201 del EOSF</w:t>
      </w:r>
      <w:r w:rsidR="00805D2C">
        <w:rPr>
          <w:rFonts w:ascii="Arial" w:hAnsi="Arial" w:cs="Arial"/>
          <w:bCs/>
          <w:sz w:val="20"/>
          <w:szCs w:val="20"/>
          <w:lang w:val="es-CO"/>
        </w:rPr>
        <w:t>, l</w:t>
      </w:r>
      <w:r w:rsidR="002265F9">
        <w:rPr>
          <w:rFonts w:ascii="Arial" w:hAnsi="Arial" w:cs="Arial"/>
          <w:bCs/>
          <w:sz w:val="20"/>
          <w:szCs w:val="20"/>
          <w:lang w:val="es-CO"/>
        </w:rPr>
        <w:t>a</w:t>
      </w:r>
      <w:r w:rsidR="005223CB" w:rsidRPr="005223CB">
        <w:rPr>
          <w:rFonts w:ascii="Arial" w:hAnsi="Arial" w:cs="Arial"/>
          <w:bCs/>
          <w:sz w:val="20"/>
          <w:szCs w:val="20"/>
          <w:lang w:val="es-CO"/>
        </w:rPr>
        <w:t xml:space="preserve"> reserva matemática </w:t>
      </w:r>
      <w:r w:rsidR="00592000">
        <w:rPr>
          <w:rFonts w:ascii="Arial" w:hAnsi="Arial" w:cs="Arial"/>
          <w:bCs/>
          <w:sz w:val="20"/>
          <w:szCs w:val="20"/>
          <w:lang w:val="es-CO"/>
        </w:rPr>
        <w:t xml:space="preserve">se </w:t>
      </w:r>
      <w:r w:rsidR="005223CB" w:rsidRPr="005223CB">
        <w:rPr>
          <w:rFonts w:ascii="Arial" w:hAnsi="Arial" w:cs="Arial"/>
          <w:bCs/>
          <w:sz w:val="20"/>
          <w:szCs w:val="20"/>
          <w:lang w:val="es-CO"/>
        </w:rPr>
        <w:t xml:space="preserve">debe constituir </w:t>
      </w:r>
      <w:r w:rsidR="002265F9">
        <w:rPr>
          <w:rFonts w:ascii="Arial" w:hAnsi="Arial" w:cs="Arial"/>
          <w:bCs/>
          <w:sz w:val="20"/>
          <w:szCs w:val="20"/>
          <w:lang w:val="es-CO"/>
        </w:rPr>
        <w:t xml:space="preserve">a partir de la mejor estimación de las obligaciones futuras de acuerdo con el numeral 3 del presente capítulo, </w:t>
      </w:r>
      <w:r w:rsidR="005223CB" w:rsidRPr="005223CB">
        <w:rPr>
          <w:rFonts w:ascii="Arial" w:hAnsi="Arial" w:cs="Arial"/>
          <w:bCs/>
          <w:sz w:val="20"/>
          <w:szCs w:val="20"/>
          <w:lang w:val="es-CO"/>
        </w:rPr>
        <w:t>más el valor acumulado del fondo conformado por las cuotas de ahorro y sus rendimientos</w:t>
      </w:r>
      <w:r w:rsidR="00EF044A">
        <w:rPr>
          <w:rFonts w:ascii="Arial" w:hAnsi="Arial" w:cs="Arial"/>
          <w:bCs/>
          <w:sz w:val="20"/>
          <w:szCs w:val="20"/>
          <w:lang w:val="es-CO"/>
        </w:rPr>
        <w:t xml:space="preserve">. </w:t>
      </w:r>
      <w:r w:rsidR="005101E6">
        <w:rPr>
          <w:rFonts w:ascii="Arial" w:hAnsi="Arial" w:cs="Arial"/>
          <w:bCs/>
          <w:sz w:val="20"/>
          <w:szCs w:val="20"/>
          <w:lang w:val="es-CO"/>
        </w:rPr>
        <w:t xml:space="preserve">En todo caso, respecto de los seguros con participación </w:t>
      </w:r>
      <w:r w:rsidR="0049123C">
        <w:rPr>
          <w:rFonts w:ascii="Arial" w:hAnsi="Arial" w:cs="Arial"/>
          <w:bCs/>
          <w:sz w:val="20"/>
          <w:szCs w:val="20"/>
          <w:lang w:val="es-CO"/>
        </w:rPr>
        <w:t>a los que se refiere</w:t>
      </w:r>
      <w:r w:rsidR="005101E6">
        <w:rPr>
          <w:rFonts w:ascii="Arial" w:hAnsi="Arial" w:cs="Arial"/>
          <w:bCs/>
          <w:sz w:val="20"/>
          <w:szCs w:val="20"/>
          <w:lang w:val="es-CO"/>
        </w:rPr>
        <w:t xml:space="preserve"> </w:t>
      </w:r>
      <w:r w:rsidR="00216480">
        <w:rPr>
          <w:rFonts w:ascii="Arial" w:hAnsi="Arial" w:cs="Arial"/>
          <w:bCs/>
          <w:sz w:val="20"/>
          <w:szCs w:val="20"/>
          <w:lang w:val="es-CO"/>
        </w:rPr>
        <w:t xml:space="preserve">el artículo 201 del EOSF, las entidades deberán considerar la separación de componentes </w:t>
      </w:r>
      <w:r w:rsidR="001B51C0">
        <w:rPr>
          <w:rFonts w:ascii="Arial" w:hAnsi="Arial" w:cs="Arial"/>
          <w:bCs/>
          <w:sz w:val="20"/>
          <w:szCs w:val="20"/>
          <w:lang w:val="es-CO"/>
        </w:rPr>
        <w:t>según lo previsto en el numeral 3.1. del Capítulo XXXV de la CBCF.</w:t>
      </w:r>
    </w:p>
    <w:p w14:paraId="7B95B3A1" w14:textId="77777777" w:rsidR="00EF044A" w:rsidRDefault="00EF044A" w:rsidP="00E268B0">
      <w:pPr>
        <w:jc w:val="both"/>
        <w:rPr>
          <w:rFonts w:ascii="Arial" w:hAnsi="Arial" w:cs="Arial"/>
          <w:bCs/>
          <w:sz w:val="20"/>
          <w:szCs w:val="20"/>
          <w:lang w:val="es-CO"/>
        </w:rPr>
      </w:pPr>
    </w:p>
    <w:p w14:paraId="062178C5" w14:textId="6BC252E5" w:rsidR="002A01D8" w:rsidRDefault="0056724C" w:rsidP="00E268B0">
      <w:pPr>
        <w:jc w:val="both"/>
        <w:rPr>
          <w:rFonts w:ascii="Arial" w:hAnsi="Arial" w:cs="Arial"/>
          <w:bCs/>
          <w:sz w:val="20"/>
          <w:szCs w:val="20"/>
          <w:lang w:val="es-CO"/>
        </w:rPr>
      </w:pPr>
      <w:r>
        <w:rPr>
          <w:rFonts w:ascii="Arial" w:hAnsi="Arial" w:cs="Arial"/>
          <w:bCs/>
          <w:sz w:val="20"/>
          <w:szCs w:val="20"/>
          <w:lang w:val="es-CO"/>
        </w:rPr>
        <w:t xml:space="preserve">El valor conformado por el </w:t>
      </w:r>
      <w:r w:rsidR="008517DF">
        <w:rPr>
          <w:rFonts w:ascii="Arial" w:hAnsi="Arial" w:cs="Arial"/>
          <w:bCs/>
          <w:sz w:val="20"/>
          <w:szCs w:val="20"/>
          <w:lang w:val="es-CO"/>
        </w:rPr>
        <w:t>componente de ahorro y sus rendimientos s</w:t>
      </w:r>
      <w:r w:rsidR="00CB79AE">
        <w:rPr>
          <w:rFonts w:ascii="Arial" w:hAnsi="Arial" w:cs="Arial"/>
          <w:bCs/>
          <w:sz w:val="20"/>
          <w:szCs w:val="20"/>
          <w:lang w:val="es-CO"/>
        </w:rPr>
        <w:t>on</w:t>
      </w:r>
      <w:r w:rsidR="008517DF">
        <w:rPr>
          <w:rFonts w:ascii="Arial" w:hAnsi="Arial" w:cs="Arial"/>
          <w:bCs/>
          <w:sz w:val="20"/>
          <w:szCs w:val="20"/>
          <w:lang w:val="es-CO"/>
        </w:rPr>
        <w:t xml:space="preserve"> </w:t>
      </w:r>
      <w:r w:rsidR="007F60CD">
        <w:rPr>
          <w:rFonts w:ascii="Arial" w:hAnsi="Arial" w:cs="Arial"/>
          <w:bCs/>
          <w:sz w:val="20"/>
          <w:szCs w:val="20"/>
          <w:lang w:val="es-CO"/>
        </w:rPr>
        <w:t>de naturaleza re</w:t>
      </w:r>
      <w:r w:rsidR="000E3192">
        <w:rPr>
          <w:rFonts w:ascii="Arial" w:hAnsi="Arial" w:cs="Arial"/>
          <w:bCs/>
          <w:sz w:val="20"/>
          <w:szCs w:val="20"/>
          <w:lang w:val="es-CO"/>
        </w:rPr>
        <w:t>e</w:t>
      </w:r>
      <w:r w:rsidR="007F60CD">
        <w:rPr>
          <w:rFonts w:ascii="Arial" w:hAnsi="Arial" w:cs="Arial"/>
          <w:bCs/>
          <w:sz w:val="20"/>
          <w:szCs w:val="20"/>
          <w:lang w:val="es-CO"/>
        </w:rPr>
        <w:t>mbolsable a favor del asegurado</w:t>
      </w:r>
      <w:r w:rsidR="00CB79AE">
        <w:rPr>
          <w:rFonts w:ascii="Arial" w:hAnsi="Arial" w:cs="Arial"/>
          <w:bCs/>
          <w:sz w:val="20"/>
          <w:szCs w:val="20"/>
          <w:lang w:val="es-CO"/>
        </w:rPr>
        <w:t xml:space="preserve"> y, como tal, a estos recursos sólo </w:t>
      </w:r>
      <w:r w:rsidR="00984B66">
        <w:rPr>
          <w:rFonts w:ascii="Arial" w:hAnsi="Arial" w:cs="Arial"/>
          <w:bCs/>
          <w:sz w:val="20"/>
          <w:szCs w:val="20"/>
          <w:lang w:val="es-CO"/>
        </w:rPr>
        <w:t xml:space="preserve">se les </w:t>
      </w:r>
      <w:r w:rsidR="00CB79AE">
        <w:rPr>
          <w:rFonts w:ascii="Arial" w:hAnsi="Arial" w:cs="Arial"/>
          <w:bCs/>
          <w:sz w:val="20"/>
          <w:szCs w:val="20"/>
          <w:lang w:val="es-CO"/>
        </w:rPr>
        <w:t>puede</w:t>
      </w:r>
      <w:r w:rsidR="003645E4">
        <w:rPr>
          <w:rFonts w:ascii="Arial" w:hAnsi="Arial" w:cs="Arial"/>
          <w:bCs/>
          <w:sz w:val="20"/>
          <w:szCs w:val="20"/>
          <w:lang w:val="es-CO"/>
        </w:rPr>
        <w:t>n</w:t>
      </w:r>
      <w:r w:rsidR="005B48D2">
        <w:rPr>
          <w:rFonts w:ascii="Arial" w:hAnsi="Arial" w:cs="Arial"/>
          <w:bCs/>
          <w:sz w:val="20"/>
          <w:szCs w:val="20"/>
          <w:lang w:val="es-CO"/>
        </w:rPr>
        <w:t xml:space="preserve"> deducir </w:t>
      </w:r>
      <w:r w:rsidR="005223CB" w:rsidRPr="005223CB">
        <w:rPr>
          <w:rFonts w:ascii="Arial" w:hAnsi="Arial" w:cs="Arial"/>
          <w:bCs/>
          <w:sz w:val="20"/>
          <w:szCs w:val="20"/>
          <w:lang w:val="es-CO"/>
        </w:rPr>
        <w:t>los gastos de administración</w:t>
      </w:r>
      <w:r w:rsidR="005010DA">
        <w:rPr>
          <w:rFonts w:ascii="Arial" w:hAnsi="Arial" w:cs="Arial"/>
          <w:bCs/>
          <w:sz w:val="20"/>
          <w:szCs w:val="20"/>
          <w:lang w:val="es-CO"/>
        </w:rPr>
        <w:t xml:space="preserve">. En todo caso, el máximo valor porcentual </w:t>
      </w:r>
      <w:r w:rsidR="00103E66">
        <w:rPr>
          <w:rFonts w:ascii="Arial" w:hAnsi="Arial" w:cs="Arial"/>
          <w:bCs/>
          <w:sz w:val="20"/>
          <w:szCs w:val="20"/>
          <w:lang w:val="es-CO"/>
        </w:rPr>
        <w:t xml:space="preserve">de los gastos que </w:t>
      </w:r>
      <w:r w:rsidR="00592000">
        <w:rPr>
          <w:rFonts w:ascii="Arial" w:hAnsi="Arial" w:cs="Arial"/>
          <w:bCs/>
          <w:sz w:val="20"/>
          <w:szCs w:val="20"/>
          <w:lang w:val="es-CO"/>
        </w:rPr>
        <w:t xml:space="preserve">se </w:t>
      </w:r>
      <w:r w:rsidR="00103E66">
        <w:rPr>
          <w:rFonts w:ascii="Arial" w:hAnsi="Arial" w:cs="Arial"/>
          <w:bCs/>
          <w:sz w:val="20"/>
          <w:szCs w:val="20"/>
          <w:lang w:val="es-CO"/>
        </w:rPr>
        <w:t xml:space="preserve">pueden deducir </w:t>
      </w:r>
      <w:r w:rsidR="00B93184">
        <w:rPr>
          <w:rFonts w:ascii="Arial" w:hAnsi="Arial" w:cs="Arial"/>
          <w:bCs/>
          <w:sz w:val="20"/>
          <w:szCs w:val="20"/>
          <w:lang w:val="es-CO"/>
        </w:rPr>
        <w:t xml:space="preserve">del componente de ahorro y sus rendimientos </w:t>
      </w:r>
      <w:r w:rsidR="005223CB" w:rsidRPr="005223CB">
        <w:rPr>
          <w:rFonts w:ascii="Arial" w:hAnsi="Arial" w:cs="Arial"/>
          <w:bCs/>
          <w:sz w:val="20"/>
          <w:szCs w:val="20"/>
          <w:lang w:val="es-CO"/>
        </w:rPr>
        <w:t xml:space="preserve">debe quedar consignado en la nota técnica del </w:t>
      </w:r>
      <w:r w:rsidR="00201D36">
        <w:rPr>
          <w:rFonts w:ascii="Arial" w:hAnsi="Arial" w:cs="Arial"/>
          <w:bCs/>
          <w:sz w:val="20"/>
          <w:szCs w:val="20"/>
          <w:lang w:val="es-CO"/>
        </w:rPr>
        <w:t xml:space="preserve">contrato de </w:t>
      </w:r>
      <w:r w:rsidR="005223CB" w:rsidRPr="005223CB">
        <w:rPr>
          <w:rFonts w:ascii="Arial" w:hAnsi="Arial" w:cs="Arial"/>
          <w:bCs/>
          <w:sz w:val="20"/>
          <w:szCs w:val="20"/>
          <w:lang w:val="es-CO"/>
        </w:rPr>
        <w:t>seguro.</w:t>
      </w:r>
    </w:p>
    <w:p w14:paraId="158496CB" w14:textId="77777777" w:rsidR="00255EB7" w:rsidRDefault="00255EB7" w:rsidP="00255EB7">
      <w:pPr>
        <w:jc w:val="both"/>
        <w:rPr>
          <w:rFonts w:ascii="Arial" w:hAnsi="Arial" w:cs="Arial"/>
          <w:b/>
          <w:sz w:val="20"/>
          <w:szCs w:val="20"/>
          <w:lang w:val="es-CO"/>
        </w:rPr>
      </w:pPr>
    </w:p>
    <w:p w14:paraId="1A99ADC9" w14:textId="602200D9" w:rsidR="00255EB7" w:rsidRPr="004B2486" w:rsidRDefault="00255EB7" w:rsidP="00255EB7">
      <w:pPr>
        <w:pStyle w:val="Prrafodelista"/>
        <w:numPr>
          <w:ilvl w:val="2"/>
          <w:numId w:val="1"/>
        </w:numPr>
        <w:ind w:left="851" w:hanging="851"/>
        <w:jc w:val="both"/>
        <w:rPr>
          <w:rFonts w:ascii="Arial" w:hAnsi="Arial" w:cs="Arial"/>
          <w:b/>
          <w:sz w:val="20"/>
          <w:szCs w:val="20"/>
          <w:lang w:val="es-CO"/>
        </w:rPr>
      </w:pPr>
      <w:r w:rsidRPr="004B2486">
        <w:rPr>
          <w:rFonts w:ascii="Arial" w:hAnsi="Arial" w:cs="Arial"/>
          <w:b/>
          <w:sz w:val="20"/>
          <w:szCs w:val="20"/>
          <w:lang w:val="es-CO"/>
        </w:rPr>
        <w:t xml:space="preserve">Reglas especiales para los </w:t>
      </w:r>
      <w:r>
        <w:rPr>
          <w:rFonts w:ascii="Arial" w:hAnsi="Arial" w:cs="Arial"/>
          <w:b/>
          <w:sz w:val="20"/>
          <w:szCs w:val="20"/>
          <w:lang w:val="es-CO"/>
        </w:rPr>
        <w:t xml:space="preserve">seguros de </w:t>
      </w:r>
      <w:r w:rsidR="0040251D">
        <w:rPr>
          <w:rFonts w:ascii="Arial" w:hAnsi="Arial" w:cs="Arial"/>
          <w:b/>
          <w:sz w:val="20"/>
          <w:szCs w:val="20"/>
          <w:lang w:val="es-CO"/>
        </w:rPr>
        <w:t>rentas voluntarias</w:t>
      </w:r>
    </w:p>
    <w:p w14:paraId="14ACA8CD" w14:textId="77777777" w:rsidR="00255EB7" w:rsidRPr="004B2486" w:rsidRDefault="00255EB7" w:rsidP="00255EB7">
      <w:pPr>
        <w:jc w:val="both"/>
        <w:rPr>
          <w:rFonts w:ascii="Arial" w:hAnsi="Arial" w:cs="Arial"/>
          <w:b/>
          <w:sz w:val="20"/>
          <w:szCs w:val="20"/>
          <w:lang w:val="es-CO"/>
        </w:rPr>
      </w:pPr>
    </w:p>
    <w:p w14:paraId="41592F9E" w14:textId="36CBA41B" w:rsidR="00255EB7" w:rsidRDefault="00BF01D9" w:rsidP="00E268B0">
      <w:pPr>
        <w:jc w:val="both"/>
        <w:rPr>
          <w:rFonts w:ascii="Arial" w:hAnsi="Arial" w:cs="Arial"/>
          <w:bCs/>
          <w:sz w:val="20"/>
          <w:szCs w:val="20"/>
          <w:lang w:val="es-CO"/>
        </w:rPr>
      </w:pPr>
      <w:r>
        <w:rPr>
          <w:rFonts w:ascii="Arial" w:hAnsi="Arial" w:cs="Arial"/>
          <w:bCs/>
          <w:sz w:val="20"/>
          <w:szCs w:val="20"/>
          <w:lang w:val="es-CO"/>
        </w:rPr>
        <w:t>Para</w:t>
      </w:r>
      <w:r w:rsidDel="009A4DAE">
        <w:rPr>
          <w:rFonts w:ascii="Arial" w:hAnsi="Arial" w:cs="Arial"/>
          <w:bCs/>
          <w:sz w:val="20"/>
          <w:szCs w:val="20"/>
          <w:lang w:val="es-CO"/>
        </w:rPr>
        <w:t xml:space="preserve"> </w:t>
      </w:r>
      <w:r>
        <w:rPr>
          <w:rFonts w:ascii="Arial" w:hAnsi="Arial" w:cs="Arial"/>
          <w:bCs/>
          <w:sz w:val="20"/>
          <w:szCs w:val="20"/>
          <w:lang w:val="es-CO"/>
        </w:rPr>
        <w:t xml:space="preserve">la mejor estimación de la reserva matemática del ramo de seguros de rentas voluntarias, las entidades </w:t>
      </w:r>
      <w:r w:rsidR="0019428B" w:rsidRPr="0019428B">
        <w:rPr>
          <w:rFonts w:ascii="Arial" w:hAnsi="Arial" w:cs="Arial"/>
          <w:bCs/>
          <w:sz w:val="20"/>
          <w:szCs w:val="20"/>
          <w:lang w:val="es-CO"/>
        </w:rPr>
        <w:t xml:space="preserve">deben utilizar las tablas de mortalidad que se encuentran contenidas en los </w:t>
      </w:r>
      <w:r w:rsidR="0019428B">
        <w:rPr>
          <w:rFonts w:ascii="Arial" w:hAnsi="Arial" w:cs="Arial"/>
          <w:bCs/>
          <w:sz w:val="20"/>
          <w:szCs w:val="20"/>
          <w:lang w:val="es-CO"/>
        </w:rPr>
        <w:t xml:space="preserve">anexos </w:t>
      </w:r>
      <w:r w:rsidR="00C45475">
        <w:rPr>
          <w:rFonts w:ascii="Arial" w:hAnsi="Arial" w:cs="Arial"/>
          <w:bCs/>
          <w:sz w:val="20"/>
          <w:szCs w:val="20"/>
          <w:lang w:val="es-CO"/>
        </w:rPr>
        <w:t>5</w:t>
      </w:r>
      <w:r w:rsidR="00CB15BA">
        <w:rPr>
          <w:rFonts w:ascii="Arial" w:hAnsi="Arial" w:cs="Arial"/>
          <w:bCs/>
          <w:sz w:val="20"/>
          <w:szCs w:val="20"/>
          <w:lang w:val="es-CO"/>
        </w:rPr>
        <w:t xml:space="preserve"> </w:t>
      </w:r>
      <w:r w:rsidR="000C57F7">
        <w:rPr>
          <w:rFonts w:ascii="Arial" w:hAnsi="Arial" w:cs="Arial"/>
          <w:sz w:val="20"/>
          <w:szCs w:val="20"/>
          <w:lang w:val="es-CO"/>
        </w:rPr>
        <w:t>«</w:t>
      </w:r>
      <w:r w:rsidR="00CB15BA">
        <w:rPr>
          <w:rFonts w:ascii="Arial" w:hAnsi="Arial" w:cs="Arial"/>
          <w:bCs/>
          <w:sz w:val="20"/>
          <w:szCs w:val="20"/>
          <w:lang w:val="es-CO"/>
        </w:rPr>
        <w:t>Tabla</w:t>
      </w:r>
      <w:r w:rsidR="00C310C9">
        <w:rPr>
          <w:rFonts w:ascii="Arial" w:hAnsi="Arial" w:cs="Arial"/>
          <w:bCs/>
          <w:sz w:val="20"/>
          <w:szCs w:val="20"/>
          <w:lang w:val="es-CO"/>
        </w:rPr>
        <w:t xml:space="preserve"> de mortalidad de rentistas</w:t>
      </w:r>
      <w:r w:rsidR="004C595E" w:rsidRPr="004C595E">
        <w:rPr>
          <w:rFonts w:ascii="Arial" w:hAnsi="Arial" w:cs="Arial"/>
          <w:bCs/>
          <w:sz w:val="20"/>
          <w:szCs w:val="20"/>
        </w:rPr>
        <w:t>»</w:t>
      </w:r>
      <w:r w:rsidR="007E0975">
        <w:rPr>
          <w:rFonts w:ascii="Arial" w:hAnsi="Arial" w:cs="Arial"/>
          <w:bCs/>
          <w:sz w:val="20"/>
          <w:szCs w:val="20"/>
          <w:lang w:val="es-CO"/>
        </w:rPr>
        <w:t xml:space="preserve"> y 7 </w:t>
      </w:r>
      <w:r w:rsidR="004C595E">
        <w:rPr>
          <w:rFonts w:ascii="Arial" w:hAnsi="Arial" w:cs="Arial"/>
          <w:sz w:val="20"/>
          <w:szCs w:val="20"/>
          <w:lang w:val="es-CO"/>
        </w:rPr>
        <w:t>«</w:t>
      </w:r>
      <w:r w:rsidR="00C310C9">
        <w:rPr>
          <w:rFonts w:ascii="Arial" w:hAnsi="Arial" w:cs="Arial"/>
          <w:bCs/>
          <w:sz w:val="20"/>
          <w:szCs w:val="20"/>
          <w:lang w:val="es-CO"/>
        </w:rPr>
        <w:t>Tabla de mortalidad de inválidos</w:t>
      </w:r>
      <w:r w:rsidR="004C595E" w:rsidRPr="004C595E">
        <w:rPr>
          <w:rFonts w:ascii="Arial" w:hAnsi="Arial" w:cs="Arial"/>
          <w:bCs/>
          <w:sz w:val="20"/>
          <w:szCs w:val="20"/>
        </w:rPr>
        <w:t>»</w:t>
      </w:r>
      <w:r w:rsidR="007E0975">
        <w:rPr>
          <w:rFonts w:ascii="Arial" w:hAnsi="Arial" w:cs="Arial"/>
          <w:bCs/>
          <w:sz w:val="20"/>
          <w:szCs w:val="20"/>
          <w:lang w:val="es-CO"/>
        </w:rPr>
        <w:t xml:space="preserve"> del título I</w:t>
      </w:r>
      <w:r w:rsidR="004F594A">
        <w:rPr>
          <w:rFonts w:ascii="Arial" w:hAnsi="Arial" w:cs="Arial"/>
          <w:bCs/>
          <w:sz w:val="20"/>
          <w:szCs w:val="20"/>
          <w:lang w:val="es-CO"/>
        </w:rPr>
        <w:t>V</w:t>
      </w:r>
      <w:r w:rsidR="007E0975">
        <w:rPr>
          <w:rFonts w:ascii="Arial" w:hAnsi="Arial" w:cs="Arial"/>
          <w:bCs/>
          <w:sz w:val="20"/>
          <w:szCs w:val="20"/>
          <w:lang w:val="es-CO"/>
        </w:rPr>
        <w:t xml:space="preserve"> de la parte II de la Circular Básica Jurídica</w:t>
      </w:r>
      <w:r w:rsidR="00F223AB">
        <w:rPr>
          <w:rFonts w:ascii="Arial" w:hAnsi="Arial" w:cs="Arial"/>
          <w:bCs/>
          <w:sz w:val="20"/>
          <w:szCs w:val="20"/>
          <w:lang w:val="es-CO"/>
        </w:rPr>
        <w:t xml:space="preserve"> (CBJ)</w:t>
      </w:r>
      <w:r w:rsidR="007E0975">
        <w:rPr>
          <w:rFonts w:ascii="Arial" w:hAnsi="Arial" w:cs="Arial"/>
          <w:bCs/>
          <w:sz w:val="20"/>
          <w:szCs w:val="20"/>
          <w:lang w:val="es-CO"/>
        </w:rPr>
        <w:t>.</w:t>
      </w:r>
    </w:p>
    <w:p w14:paraId="3E5EF065" w14:textId="77777777" w:rsidR="002D2AC1" w:rsidRDefault="002D2AC1" w:rsidP="00E268B0">
      <w:pPr>
        <w:jc w:val="both"/>
        <w:rPr>
          <w:rFonts w:ascii="Arial" w:hAnsi="Arial" w:cs="Arial"/>
          <w:bCs/>
          <w:sz w:val="20"/>
          <w:szCs w:val="20"/>
          <w:lang w:val="es-CO"/>
        </w:rPr>
      </w:pPr>
    </w:p>
    <w:p w14:paraId="74AD1C9C" w14:textId="0F56FCD5" w:rsidR="00323596" w:rsidRDefault="00EF1DF7" w:rsidP="00E268B0">
      <w:pPr>
        <w:jc w:val="both"/>
        <w:rPr>
          <w:rFonts w:ascii="Arial" w:hAnsi="Arial" w:cs="Arial"/>
          <w:bCs/>
          <w:sz w:val="20"/>
          <w:szCs w:val="20"/>
        </w:rPr>
      </w:pPr>
      <w:r w:rsidRPr="00EF1DF7">
        <w:rPr>
          <w:rFonts w:ascii="Arial" w:hAnsi="Arial" w:cs="Arial"/>
          <w:bCs/>
          <w:sz w:val="20"/>
          <w:szCs w:val="20"/>
        </w:rPr>
        <w:t>En todo caso, las entidades aseguradoras podrán</w:t>
      </w:r>
      <w:r w:rsidR="002C4D73">
        <w:rPr>
          <w:rFonts w:ascii="Arial" w:hAnsi="Arial" w:cs="Arial"/>
          <w:bCs/>
          <w:sz w:val="20"/>
          <w:szCs w:val="20"/>
        </w:rPr>
        <w:t xml:space="preserve"> implementar tablas de mortalidad propias</w:t>
      </w:r>
      <w:r w:rsidR="002C4D73" w:rsidDel="009963F9">
        <w:rPr>
          <w:rFonts w:ascii="Arial" w:hAnsi="Arial" w:cs="Arial"/>
          <w:bCs/>
          <w:sz w:val="20"/>
          <w:szCs w:val="20"/>
        </w:rPr>
        <w:t xml:space="preserve"> </w:t>
      </w:r>
      <w:r w:rsidR="009963F9">
        <w:rPr>
          <w:rFonts w:ascii="Arial" w:hAnsi="Arial" w:cs="Arial"/>
          <w:bCs/>
          <w:sz w:val="20"/>
          <w:szCs w:val="20"/>
        </w:rPr>
        <w:t xml:space="preserve">que </w:t>
      </w:r>
      <w:r w:rsidRPr="00EF1DF7">
        <w:rPr>
          <w:rFonts w:ascii="Arial" w:hAnsi="Arial" w:cs="Arial"/>
          <w:bCs/>
          <w:sz w:val="20"/>
          <w:szCs w:val="20"/>
        </w:rPr>
        <w:t>deben reflejar la experiencia de su cartera de seguros en el país</w:t>
      </w:r>
      <w:r w:rsidR="00F223AB">
        <w:rPr>
          <w:rFonts w:ascii="Arial" w:hAnsi="Arial" w:cs="Arial"/>
          <w:bCs/>
          <w:sz w:val="20"/>
          <w:szCs w:val="20"/>
        </w:rPr>
        <w:t>,</w:t>
      </w:r>
      <w:r w:rsidRPr="00EF1DF7">
        <w:rPr>
          <w:rFonts w:ascii="Arial" w:hAnsi="Arial" w:cs="Arial"/>
          <w:bCs/>
          <w:sz w:val="20"/>
          <w:szCs w:val="20"/>
        </w:rPr>
        <w:t xml:space="preserve"> estar debidamente justificad</w:t>
      </w:r>
      <w:r w:rsidR="00C3300C">
        <w:rPr>
          <w:rFonts w:ascii="Arial" w:hAnsi="Arial" w:cs="Arial"/>
          <w:bCs/>
          <w:sz w:val="20"/>
          <w:szCs w:val="20"/>
        </w:rPr>
        <w:t>a</w:t>
      </w:r>
      <w:r w:rsidRPr="00EF1DF7">
        <w:rPr>
          <w:rFonts w:ascii="Arial" w:hAnsi="Arial" w:cs="Arial"/>
          <w:bCs/>
          <w:sz w:val="20"/>
          <w:szCs w:val="20"/>
        </w:rPr>
        <w:t>s y ser presentad</w:t>
      </w:r>
      <w:r w:rsidR="00C3300C">
        <w:rPr>
          <w:rFonts w:ascii="Arial" w:hAnsi="Arial" w:cs="Arial"/>
          <w:bCs/>
          <w:sz w:val="20"/>
          <w:szCs w:val="20"/>
        </w:rPr>
        <w:t>a</w:t>
      </w:r>
      <w:r w:rsidRPr="00EF1DF7">
        <w:rPr>
          <w:rFonts w:ascii="Arial" w:hAnsi="Arial" w:cs="Arial"/>
          <w:bCs/>
          <w:sz w:val="20"/>
          <w:szCs w:val="20"/>
        </w:rPr>
        <w:t>s a la SFC para su no objeción.</w:t>
      </w:r>
      <w:r w:rsidR="00442755" w:rsidRPr="00442755">
        <w:t xml:space="preserve"> </w:t>
      </w:r>
      <w:r w:rsidR="00442755" w:rsidRPr="00442755">
        <w:rPr>
          <w:rFonts w:ascii="Arial" w:hAnsi="Arial" w:cs="Arial"/>
          <w:bCs/>
          <w:sz w:val="20"/>
          <w:szCs w:val="20"/>
        </w:rPr>
        <w:t>Para estos efectos,</w:t>
      </w:r>
      <w:r w:rsidR="00442755">
        <w:rPr>
          <w:rFonts w:ascii="Arial" w:hAnsi="Arial" w:cs="Arial"/>
          <w:bCs/>
          <w:sz w:val="20"/>
          <w:szCs w:val="20"/>
        </w:rPr>
        <w:t xml:space="preserve"> </w:t>
      </w:r>
      <w:r w:rsidR="00442755" w:rsidRPr="00442755">
        <w:rPr>
          <w:rFonts w:ascii="Arial" w:hAnsi="Arial" w:cs="Arial"/>
          <w:bCs/>
          <w:sz w:val="20"/>
          <w:szCs w:val="20"/>
        </w:rPr>
        <w:t xml:space="preserve">de forma previa a la implementación de las </w:t>
      </w:r>
      <w:r w:rsidR="002D666F">
        <w:rPr>
          <w:rFonts w:ascii="Arial" w:hAnsi="Arial" w:cs="Arial"/>
          <w:bCs/>
          <w:sz w:val="20"/>
          <w:szCs w:val="20"/>
        </w:rPr>
        <w:t xml:space="preserve">referidas </w:t>
      </w:r>
      <w:r w:rsidR="00442755" w:rsidRPr="00442755">
        <w:rPr>
          <w:rFonts w:ascii="Arial" w:hAnsi="Arial" w:cs="Arial"/>
          <w:bCs/>
          <w:sz w:val="20"/>
          <w:szCs w:val="20"/>
        </w:rPr>
        <w:t>tablas, la entidad debe remitir a la SFC una solicitud de no objeción</w:t>
      </w:r>
      <w:r w:rsidR="001608E7">
        <w:rPr>
          <w:rFonts w:ascii="Arial" w:hAnsi="Arial" w:cs="Arial"/>
          <w:bCs/>
          <w:sz w:val="20"/>
          <w:szCs w:val="20"/>
        </w:rPr>
        <w:t xml:space="preserve"> que incluya </w:t>
      </w:r>
      <w:r w:rsidR="00442755" w:rsidRPr="00442755">
        <w:rPr>
          <w:rFonts w:ascii="Arial" w:hAnsi="Arial" w:cs="Arial"/>
          <w:bCs/>
          <w:sz w:val="20"/>
          <w:szCs w:val="20"/>
        </w:rPr>
        <w:t>como mínimo</w:t>
      </w:r>
      <w:r w:rsidR="001608E7">
        <w:rPr>
          <w:rFonts w:ascii="Arial" w:hAnsi="Arial" w:cs="Arial"/>
          <w:bCs/>
          <w:sz w:val="20"/>
          <w:szCs w:val="20"/>
        </w:rPr>
        <w:t xml:space="preserve"> los requisitos definidos </w:t>
      </w:r>
      <w:r w:rsidR="008B7E0D">
        <w:rPr>
          <w:rFonts w:ascii="Arial" w:hAnsi="Arial" w:cs="Arial"/>
          <w:bCs/>
          <w:sz w:val="20"/>
          <w:szCs w:val="20"/>
        </w:rPr>
        <w:t>para la adopción de tablas propias</w:t>
      </w:r>
      <w:r w:rsidR="00617005">
        <w:rPr>
          <w:rFonts w:ascii="Arial" w:hAnsi="Arial" w:cs="Arial"/>
          <w:bCs/>
          <w:sz w:val="20"/>
          <w:szCs w:val="20"/>
        </w:rPr>
        <w:t>,</w:t>
      </w:r>
      <w:r w:rsidR="001608E7">
        <w:rPr>
          <w:rFonts w:ascii="Arial" w:hAnsi="Arial" w:cs="Arial"/>
          <w:bCs/>
          <w:sz w:val="20"/>
          <w:szCs w:val="20"/>
        </w:rPr>
        <w:t xml:space="preserve"> </w:t>
      </w:r>
      <w:r w:rsidR="004B3759">
        <w:rPr>
          <w:rFonts w:ascii="Arial" w:hAnsi="Arial" w:cs="Arial"/>
          <w:bCs/>
          <w:sz w:val="20"/>
          <w:szCs w:val="20"/>
        </w:rPr>
        <w:t xml:space="preserve">en el inciso </w:t>
      </w:r>
      <w:r w:rsidR="00BC1D2C">
        <w:rPr>
          <w:rFonts w:ascii="Arial" w:hAnsi="Arial" w:cs="Arial"/>
          <w:bCs/>
          <w:sz w:val="20"/>
          <w:szCs w:val="20"/>
        </w:rPr>
        <w:t>4</w:t>
      </w:r>
      <w:r w:rsidR="00317080">
        <w:rPr>
          <w:rFonts w:ascii="Arial" w:hAnsi="Arial" w:cs="Arial"/>
          <w:bCs/>
          <w:sz w:val="20"/>
          <w:szCs w:val="20"/>
        </w:rPr>
        <w:t xml:space="preserve"> </w:t>
      </w:r>
      <w:r w:rsidR="004B3759">
        <w:rPr>
          <w:rFonts w:ascii="Arial" w:hAnsi="Arial" w:cs="Arial"/>
          <w:bCs/>
          <w:sz w:val="20"/>
          <w:szCs w:val="20"/>
        </w:rPr>
        <w:t xml:space="preserve">del literal </w:t>
      </w:r>
      <w:r w:rsidR="00BF5A4A">
        <w:rPr>
          <w:rFonts w:ascii="Arial" w:hAnsi="Arial" w:cs="Arial"/>
          <w:bCs/>
          <w:sz w:val="20"/>
          <w:szCs w:val="20"/>
        </w:rPr>
        <w:t>(</w:t>
      </w:r>
      <w:r w:rsidR="004B3759">
        <w:rPr>
          <w:rFonts w:ascii="Arial" w:hAnsi="Arial" w:cs="Arial"/>
          <w:bCs/>
          <w:sz w:val="20"/>
          <w:szCs w:val="20"/>
        </w:rPr>
        <w:t xml:space="preserve">a) del numeral </w:t>
      </w:r>
      <w:r w:rsidR="00A44ABD">
        <w:rPr>
          <w:rFonts w:ascii="Arial" w:hAnsi="Arial" w:cs="Arial"/>
          <w:bCs/>
          <w:sz w:val="20"/>
          <w:szCs w:val="20"/>
        </w:rPr>
        <w:t>5.2. del presente capítulo.</w:t>
      </w:r>
    </w:p>
    <w:p w14:paraId="4CA20FDD" w14:textId="77777777" w:rsidR="00317080" w:rsidRDefault="00317080" w:rsidP="00E268B0">
      <w:pPr>
        <w:jc w:val="both"/>
        <w:rPr>
          <w:rFonts w:ascii="Arial" w:hAnsi="Arial" w:cs="Arial"/>
          <w:bCs/>
          <w:sz w:val="20"/>
          <w:szCs w:val="20"/>
        </w:rPr>
      </w:pPr>
    </w:p>
    <w:p w14:paraId="4D786CB9" w14:textId="77777777" w:rsidR="00317080" w:rsidRDefault="00317080" w:rsidP="00E268B0">
      <w:pPr>
        <w:jc w:val="both"/>
        <w:rPr>
          <w:rFonts w:ascii="Arial" w:hAnsi="Arial" w:cs="Arial"/>
          <w:bCs/>
          <w:sz w:val="20"/>
          <w:szCs w:val="20"/>
        </w:rPr>
      </w:pPr>
    </w:p>
    <w:p w14:paraId="4BC797DC" w14:textId="77777777" w:rsidR="00317080" w:rsidRDefault="00317080" w:rsidP="00E268B0">
      <w:pPr>
        <w:jc w:val="both"/>
        <w:rPr>
          <w:rFonts w:ascii="Arial" w:hAnsi="Arial" w:cs="Arial"/>
          <w:bCs/>
          <w:sz w:val="20"/>
          <w:szCs w:val="20"/>
        </w:rPr>
      </w:pPr>
    </w:p>
    <w:p w14:paraId="604669B4" w14:textId="77777777" w:rsidR="00E135EB" w:rsidRDefault="00E135EB" w:rsidP="00E268B0">
      <w:pPr>
        <w:jc w:val="both"/>
        <w:rPr>
          <w:rFonts w:ascii="Arial" w:hAnsi="Arial" w:cs="Arial"/>
          <w:b/>
          <w:sz w:val="20"/>
          <w:szCs w:val="20"/>
          <w:lang w:val="es-CO"/>
        </w:rPr>
      </w:pPr>
    </w:p>
    <w:p w14:paraId="67960A49" w14:textId="5AD1B445" w:rsidR="00C90C00" w:rsidRPr="00B43180" w:rsidRDefault="00C90C00" w:rsidP="00BE2CFC">
      <w:pPr>
        <w:pStyle w:val="Prrafodelista"/>
        <w:numPr>
          <w:ilvl w:val="1"/>
          <w:numId w:val="1"/>
        </w:numPr>
        <w:ind w:left="851" w:hanging="851"/>
        <w:jc w:val="both"/>
        <w:rPr>
          <w:rFonts w:ascii="Arial" w:hAnsi="Arial" w:cs="Arial"/>
          <w:b/>
          <w:sz w:val="20"/>
          <w:szCs w:val="20"/>
          <w:lang w:val="es-CO"/>
        </w:rPr>
      </w:pPr>
      <w:r w:rsidRPr="00B43180">
        <w:rPr>
          <w:rFonts w:ascii="Arial" w:hAnsi="Arial" w:cs="Arial"/>
          <w:b/>
          <w:sz w:val="20"/>
          <w:szCs w:val="20"/>
          <w:lang w:val="es-CO"/>
        </w:rPr>
        <w:lastRenderedPageBreak/>
        <w:t>Reserva por insuficiencia de activos</w:t>
      </w:r>
      <w:r w:rsidR="00D4722A" w:rsidRPr="00B43180">
        <w:rPr>
          <w:rFonts w:ascii="Arial" w:hAnsi="Arial" w:cs="Arial"/>
          <w:b/>
          <w:sz w:val="20"/>
          <w:szCs w:val="20"/>
          <w:lang w:val="es-CO"/>
        </w:rPr>
        <w:t xml:space="preserve"> (RIA)</w:t>
      </w:r>
    </w:p>
    <w:p w14:paraId="057B0243" w14:textId="77777777" w:rsidR="00F23C11" w:rsidRDefault="00F23C11" w:rsidP="00F23C11">
      <w:pPr>
        <w:jc w:val="both"/>
        <w:rPr>
          <w:rFonts w:ascii="Arial" w:hAnsi="Arial" w:cs="Arial"/>
          <w:b/>
          <w:sz w:val="20"/>
          <w:szCs w:val="20"/>
          <w:lang w:val="es-CO"/>
        </w:rPr>
      </w:pPr>
    </w:p>
    <w:p w14:paraId="4A412756" w14:textId="2A8FF61C" w:rsidR="009D74E6" w:rsidRDefault="00C17610" w:rsidP="009D74E6">
      <w:pPr>
        <w:jc w:val="both"/>
        <w:rPr>
          <w:rFonts w:ascii="Arial" w:hAnsi="Arial" w:cs="Arial"/>
          <w:bCs/>
          <w:sz w:val="20"/>
          <w:szCs w:val="20"/>
        </w:rPr>
      </w:pPr>
      <w:r w:rsidRPr="001A204B">
        <w:rPr>
          <w:rFonts w:ascii="Arial" w:hAnsi="Arial" w:cs="Arial"/>
          <w:spacing w:val="-3"/>
          <w:sz w:val="20"/>
          <w:szCs w:val="20"/>
        </w:rPr>
        <w:t xml:space="preserve">La RIA </w:t>
      </w:r>
      <w:r>
        <w:rPr>
          <w:rFonts w:ascii="Arial" w:hAnsi="Arial" w:cs="Arial"/>
          <w:spacing w:val="-3"/>
          <w:sz w:val="20"/>
          <w:szCs w:val="20"/>
        </w:rPr>
        <w:t>es la reserva</w:t>
      </w:r>
      <w:r w:rsidRPr="001A204B">
        <w:rPr>
          <w:rFonts w:ascii="Arial" w:hAnsi="Arial" w:cs="Arial"/>
          <w:spacing w:val="-3"/>
          <w:sz w:val="20"/>
          <w:szCs w:val="20"/>
        </w:rPr>
        <w:t xml:space="preserve"> que se constituye </w:t>
      </w:r>
      <w:r w:rsidR="00815337">
        <w:rPr>
          <w:rFonts w:ascii="Arial" w:hAnsi="Arial" w:cs="Arial"/>
          <w:spacing w:val="-3"/>
          <w:sz w:val="20"/>
          <w:szCs w:val="20"/>
        </w:rPr>
        <w:t xml:space="preserve">a nivel de ramo </w:t>
      </w:r>
      <w:r w:rsidRPr="001A204B">
        <w:rPr>
          <w:rFonts w:ascii="Arial" w:hAnsi="Arial" w:cs="Arial"/>
          <w:spacing w:val="-3"/>
          <w:sz w:val="20"/>
          <w:szCs w:val="20"/>
        </w:rPr>
        <w:t>para compensar la insuficiencia que puede surgir al cubrir los flujos de pasivos esperados que conforman la reserva matemática</w:t>
      </w:r>
      <w:r w:rsidR="004C7E74">
        <w:rPr>
          <w:rFonts w:ascii="Arial" w:hAnsi="Arial" w:cs="Arial"/>
          <w:spacing w:val="-3"/>
          <w:sz w:val="20"/>
          <w:szCs w:val="20"/>
        </w:rPr>
        <w:t>,</w:t>
      </w:r>
      <w:r w:rsidRPr="001A204B">
        <w:rPr>
          <w:rFonts w:ascii="Arial" w:hAnsi="Arial" w:cs="Arial"/>
          <w:spacing w:val="-3"/>
          <w:sz w:val="20"/>
          <w:szCs w:val="20"/>
        </w:rPr>
        <w:t xml:space="preserve"> con los flujos de activos de la entidad aseguradora. </w:t>
      </w:r>
      <w:r w:rsidR="00966F58">
        <w:rPr>
          <w:rFonts w:ascii="Arial" w:hAnsi="Arial" w:cs="Arial"/>
          <w:bCs/>
          <w:sz w:val="20"/>
          <w:szCs w:val="20"/>
          <w:lang w:val="es-CO"/>
        </w:rPr>
        <w:t xml:space="preserve">En </w:t>
      </w:r>
      <w:r w:rsidR="00253D2A">
        <w:rPr>
          <w:rFonts w:ascii="Arial" w:hAnsi="Arial" w:cs="Arial"/>
          <w:bCs/>
          <w:sz w:val="20"/>
          <w:szCs w:val="20"/>
          <w:lang w:val="es-CO"/>
        </w:rPr>
        <w:t xml:space="preserve">consideración de lo </w:t>
      </w:r>
      <w:r w:rsidR="005D097B">
        <w:rPr>
          <w:rFonts w:ascii="Arial" w:hAnsi="Arial" w:cs="Arial"/>
          <w:bCs/>
          <w:sz w:val="20"/>
          <w:szCs w:val="20"/>
          <w:lang w:val="es-CO"/>
        </w:rPr>
        <w:t xml:space="preserve">dispuesto en el numeral 4 del </w:t>
      </w:r>
      <w:r w:rsidR="006F7326">
        <w:rPr>
          <w:rFonts w:ascii="Arial" w:hAnsi="Arial" w:cs="Arial"/>
          <w:bCs/>
          <w:sz w:val="20"/>
          <w:szCs w:val="20"/>
          <w:lang w:val="es-CO"/>
        </w:rPr>
        <w:t>artículo 4 del Decreto 1271 de 2024</w:t>
      </w:r>
      <w:r w:rsidR="007529B4">
        <w:rPr>
          <w:rFonts w:ascii="Arial" w:hAnsi="Arial" w:cs="Arial"/>
          <w:bCs/>
          <w:sz w:val="20"/>
          <w:szCs w:val="20"/>
          <w:lang w:val="es-CO"/>
        </w:rPr>
        <w:t xml:space="preserve">, </w:t>
      </w:r>
      <w:r w:rsidR="009D74E6" w:rsidRPr="009D74E6">
        <w:rPr>
          <w:rFonts w:ascii="Arial" w:hAnsi="Arial" w:cs="Arial"/>
          <w:bCs/>
          <w:sz w:val="20"/>
          <w:szCs w:val="20"/>
        </w:rPr>
        <w:t xml:space="preserve">las entidades aseguradoras deben </w:t>
      </w:r>
      <w:r w:rsidR="001F303F">
        <w:rPr>
          <w:rFonts w:ascii="Arial" w:hAnsi="Arial" w:cs="Arial"/>
          <w:bCs/>
          <w:sz w:val="20"/>
          <w:szCs w:val="20"/>
        </w:rPr>
        <w:t>realizar t</w:t>
      </w:r>
      <w:r w:rsidR="001F303F" w:rsidRPr="009D74E6">
        <w:rPr>
          <w:rFonts w:ascii="Arial" w:hAnsi="Arial" w:cs="Arial"/>
          <w:bCs/>
          <w:sz w:val="20"/>
          <w:szCs w:val="20"/>
        </w:rPr>
        <w:t>rimestralmente</w:t>
      </w:r>
      <w:r w:rsidR="009D74E6" w:rsidRPr="009D74E6">
        <w:rPr>
          <w:rFonts w:ascii="Arial" w:hAnsi="Arial" w:cs="Arial"/>
          <w:bCs/>
          <w:sz w:val="20"/>
          <w:szCs w:val="20"/>
        </w:rPr>
        <w:t xml:space="preserve"> un análisis de insuficiencia de activos respecto </w:t>
      </w:r>
      <w:r w:rsidR="008C0E1E">
        <w:rPr>
          <w:rFonts w:ascii="Arial" w:hAnsi="Arial" w:cs="Arial"/>
          <w:bCs/>
          <w:sz w:val="20"/>
          <w:szCs w:val="20"/>
        </w:rPr>
        <w:t>de</w:t>
      </w:r>
      <w:r w:rsidR="009D74E6" w:rsidRPr="009D74E6">
        <w:rPr>
          <w:rFonts w:ascii="Arial" w:hAnsi="Arial" w:cs="Arial"/>
          <w:bCs/>
          <w:sz w:val="20"/>
          <w:szCs w:val="20"/>
        </w:rPr>
        <w:t xml:space="preserve"> los pasivos en los</w:t>
      </w:r>
      <w:r w:rsidR="0051131E">
        <w:rPr>
          <w:rFonts w:ascii="Arial" w:hAnsi="Arial" w:cs="Arial"/>
          <w:bCs/>
          <w:sz w:val="20"/>
          <w:szCs w:val="20"/>
        </w:rPr>
        <w:t xml:space="preserve"> ramos</w:t>
      </w:r>
      <w:r w:rsidR="009D74E6" w:rsidRPr="009D74E6">
        <w:rPr>
          <w:rFonts w:ascii="Arial" w:hAnsi="Arial" w:cs="Arial"/>
          <w:bCs/>
          <w:sz w:val="20"/>
          <w:szCs w:val="20"/>
        </w:rPr>
        <w:t xml:space="preserve"> </w:t>
      </w:r>
      <w:r w:rsidR="007B2121">
        <w:rPr>
          <w:rFonts w:ascii="Arial" w:hAnsi="Arial" w:cs="Arial"/>
          <w:bCs/>
          <w:sz w:val="20"/>
          <w:szCs w:val="20"/>
        </w:rPr>
        <w:t>señalados en el artículo</w:t>
      </w:r>
      <w:r w:rsidR="007B2121" w:rsidRPr="007B2121">
        <w:rPr>
          <w:rFonts w:ascii="Arial" w:hAnsi="Arial" w:cs="Arial"/>
          <w:bCs/>
          <w:sz w:val="20"/>
          <w:szCs w:val="20"/>
        </w:rPr>
        <w:t xml:space="preserve"> </w:t>
      </w:r>
      <w:r w:rsidR="007B2121" w:rsidRPr="009D74E6">
        <w:rPr>
          <w:rFonts w:ascii="Arial" w:hAnsi="Arial" w:cs="Arial"/>
          <w:bCs/>
          <w:sz w:val="20"/>
          <w:szCs w:val="20"/>
        </w:rPr>
        <w:t>2.31.4.3.4</w:t>
      </w:r>
      <w:r w:rsidR="00564E8C">
        <w:rPr>
          <w:rFonts w:ascii="Arial" w:hAnsi="Arial" w:cs="Arial"/>
          <w:bCs/>
          <w:sz w:val="20"/>
          <w:szCs w:val="20"/>
        </w:rPr>
        <w:t>.</w:t>
      </w:r>
      <w:r w:rsidR="007B2121" w:rsidRPr="009D74E6">
        <w:rPr>
          <w:rFonts w:ascii="Arial" w:hAnsi="Arial" w:cs="Arial"/>
          <w:bCs/>
          <w:sz w:val="20"/>
          <w:szCs w:val="20"/>
        </w:rPr>
        <w:t xml:space="preserve"> del Decreto 2555 de 2010</w:t>
      </w:r>
      <w:r w:rsidR="00A01EDA">
        <w:rPr>
          <w:rFonts w:ascii="Arial" w:hAnsi="Arial" w:cs="Arial"/>
          <w:bCs/>
          <w:sz w:val="20"/>
          <w:szCs w:val="20"/>
        </w:rPr>
        <w:t>.</w:t>
      </w:r>
    </w:p>
    <w:p w14:paraId="408EDA4B" w14:textId="77777777" w:rsidR="009D74E6" w:rsidRPr="00282066" w:rsidRDefault="009D74E6" w:rsidP="009D74E6">
      <w:pPr>
        <w:jc w:val="both"/>
        <w:rPr>
          <w:rFonts w:ascii="Arial" w:hAnsi="Arial" w:cs="Arial"/>
          <w:b/>
          <w:sz w:val="20"/>
          <w:szCs w:val="20"/>
        </w:rPr>
      </w:pPr>
    </w:p>
    <w:p w14:paraId="43595719" w14:textId="5EED04B9" w:rsidR="009D74E6" w:rsidRPr="009F132B" w:rsidRDefault="009D74E6" w:rsidP="00BE2CFC">
      <w:pPr>
        <w:pStyle w:val="Prrafodelista"/>
        <w:numPr>
          <w:ilvl w:val="2"/>
          <w:numId w:val="1"/>
        </w:numPr>
        <w:ind w:left="851" w:hanging="851"/>
        <w:jc w:val="both"/>
        <w:rPr>
          <w:rFonts w:ascii="Arial" w:hAnsi="Arial" w:cs="Arial"/>
          <w:b/>
          <w:sz w:val="20"/>
          <w:szCs w:val="20"/>
        </w:rPr>
      </w:pPr>
      <w:r w:rsidRPr="009F132B">
        <w:rPr>
          <w:rFonts w:ascii="Arial" w:hAnsi="Arial" w:cs="Arial"/>
          <w:b/>
          <w:sz w:val="20"/>
          <w:szCs w:val="20"/>
        </w:rPr>
        <w:t xml:space="preserve">Constitución y liberación de la </w:t>
      </w:r>
      <w:r w:rsidR="00E152BE">
        <w:rPr>
          <w:rFonts w:ascii="Arial" w:hAnsi="Arial" w:cs="Arial"/>
          <w:b/>
          <w:sz w:val="20"/>
          <w:szCs w:val="20"/>
        </w:rPr>
        <w:t>RIA</w:t>
      </w:r>
    </w:p>
    <w:p w14:paraId="556F2A7B" w14:textId="77777777" w:rsidR="009D74E6" w:rsidRPr="009D74E6" w:rsidRDefault="009D74E6" w:rsidP="009D74E6">
      <w:pPr>
        <w:jc w:val="both"/>
        <w:rPr>
          <w:rFonts w:ascii="Arial" w:hAnsi="Arial" w:cs="Arial"/>
          <w:bCs/>
          <w:sz w:val="20"/>
          <w:szCs w:val="20"/>
        </w:rPr>
      </w:pPr>
    </w:p>
    <w:p w14:paraId="084BF86B" w14:textId="091D181E" w:rsidR="007463FA" w:rsidRPr="00ED2A0F" w:rsidRDefault="009D74E6" w:rsidP="00ED2A0F">
      <w:pPr>
        <w:jc w:val="both"/>
        <w:rPr>
          <w:rFonts w:ascii="Arial" w:hAnsi="Arial" w:cs="Arial"/>
          <w:b/>
          <w:sz w:val="20"/>
          <w:szCs w:val="20"/>
        </w:rPr>
      </w:pPr>
      <w:r w:rsidRPr="009D74E6">
        <w:rPr>
          <w:rFonts w:ascii="Arial" w:hAnsi="Arial" w:cs="Arial"/>
          <w:bCs/>
          <w:sz w:val="20"/>
          <w:szCs w:val="20"/>
        </w:rPr>
        <w:t xml:space="preserve">Las entidades aseguradoras deben constituir la </w:t>
      </w:r>
      <w:r w:rsidR="00D4722A">
        <w:rPr>
          <w:rFonts w:ascii="Arial" w:hAnsi="Arial" w:cs="Arial"/>
          <w:bCs/>
          <w:sz w:val="20"/>
          <w:szCs w:val="20"/>
        </w:rPr>
        <w:t>RIA</w:t>
      </w:r>
      <w:r w:rsidR="00A70BD7">
        <w:rPr>
          <w:rFonts w:ascii="Arial" w:hAnsi="Arial" w:cs="Arial"/>
          <w:bCs/>
          <w:sz w:val="20"/>
          <w:szCs w:val="20"/>
        </w:rPr>
        <w:t xml:space="preserve"> </w:t>
      </w:r>
      <w:r w:rsidRPr="009D74E6">
        <w:rPr>
          <w:rFonts w:ascii="Arial" w:hAnsi="Arial" w:cs="Arial"/>
          <w:bCs/>
          <w:sz w:val="20"/>
          <w:szCs w:val="20"/>
        </w:rPr>
        <w:t xml:space="preserve">cuando identifiquen una insuficiencia de activos con base en el análisis de insuficiencia que realicen trimestralmente. </w:t>
      </w:r>
      <w:r w:rsidR="00ED2A0F" w:rsidRPr="009F132B">
        <w:rPr>
          <w:rFonts w:ascii="Arial" w:hAnsi="Arial" w:cs="Arial"/>
          <w:bCs/>
          <w:sz w:val="20"/>
          <w:szCs w:val="20"/>
        </w:rPr>
        <w:t xml:space="preserve">El monto de la RIA </w:t>
      </w:r>
      <w:r w:rsidR="00CB298F">
        <w:rPr>
          <w:rFonts w:ascii="Arial" w:hAnsi="Arial" w:cs="Arial"/>
          <w:bCs/>
          <w:sz w:val="20"/>
          <w:szCs w:val="20"/>
        </w:rPr>
        <w:t>se debe calcular</w:t>
      </w:r>
      <w:r w:rsidR="00ED2A0F" w:rsidRPr="009F132B">
        <w:rPr>
          <w:rFonts w:ascii="Arial" w:hAnsi="Arial" w:cs="Arial"/>
          <w:bCs/>
          <w:sz w:val="20"/>
          <w:szCs w:val="20"/>
        </w:rPr>
        <w:t xml:space="preserve"> </w:t>
      </w:r>
      <w:r w:rsidR="00ED2A0F">
        <w:rPr>
          <w:rFonts w:ascii="Arial" w:hAnsi="Arial" w:cs="Arial"/>
          <w:bCs/>
          <w:sz w:val="20"/>
          <w:szCs w:val="20"/>
        </w:rPr>
        <w:t xml:space="preserve">de acuerdo con las instrucciones del </w:t>
      </w:r>
      <w:r w:rsidR="00ED2A0F" w:rsidRPr="00171F7E">
        <w:rPr>
          <w:rFonts w:ascii="Arial" w:hAnsi="Arial" w:cs="Arial"/>
          <w:bCs/>
          <w:sz w:val="20"/>
          <w:szCs w:val="20"/>
        </w:rPr>
        <w:t>anexo 1 del presente capítulo.</w:t>
      </w:r>
    </w:p>
    <w:p w14:paraId="5D4F480D" w14:textId="77777777" w:rsidR="007463FA" w:rsidRDefault="007463FA" w:rsidP="009D74E6">
      <w:pPr>
        <w:jc w:val="both"/>
        <w:rPr>
          <w:rFonts w:ascii="Arial" w:hAnsi="Arial" w:cs="Arial"/>
          <w:bCs/>
          <w:sz w:val="20"/>
          <w:szCs w:val="20"/>
        </w:rPr>
      </w:pPr>
    </w:p>
    <w:p w14:paraId="584A276E" w14:textId="7B373045" w:rsidR="001703F7" w:rsidRDefault="009D74E6" w:rsidP="009D74E6">
      <w:pPr>
        <w:jc w:val="both"/>
        <w:rPr>
          <w:rFonts w:ascii="Arial" w:hAnsi="Arial" w:cs="Arial"/>
          <w:bCs/>
          <w:sz w:val="20"/>
          <w:szCs w:val="20"/>
        </w:rPr>
      </w:pPr>
      <w:r w:rsidRPr="009D74E6">
        <w:rPr>
          <w:rFonts w:ascii="Arial" w:hAnsi="Arial" w:cs="Arial"/>
          <w:bCs/>
          <w:sz w:val="20"/>
          <w:szCs w:val="20"/>
        </w:rPr>
        <w:t xml:space="preserve">El plazo máximo para la constitución de </w:t>
      </w:r>
      <w:r w:rsidR="00A70BD7">
        <w:rPr>
          <w:rFonts w:ascii="Arial" w:hAnsi="Arial" w:cs="Arial"/>
          <w:bCs/>
          <w:sz w:val="20"/>
          <w:szCs w:val="20"/>
        </w:rPr>
        <w:t xml:space="preserve">esta reserva </w:t>
      </w:r>
      <w:r w:rsidRPr="009D74E6">
        <w:rPr>
          <w:rFonts w:ascii="Arial" w:hAnsi="Arial" w:cs="Arial"/>
          <w:bCs/>
          <w:sz w:val="20"/>
          <w:szCs w:val="20"/>
        </w:rPr>
        <w:t xml:space="preserve">será el último día hábil del corte trimestral siguiente al </w:t>
      </w:r>
      <w:r w:rsidR="006A62D9">
        <w:rPr>
          <w:rFonts w:ascii="Arial" w:hAnsi="Arial" w:cs="Arial"/>
          <w:bCs/>
          <w:sz w:val="20"/>
          <w:szCs w:val="20"/>
        </w:rPr>
        <w:t xml:space="preserve">corte </w:t>
      </w:r>
      <w:r w:rsidRPr="009D74E6">
        <w:rPr>
          <w:rFonts w:ascii="Arial" w:hAnsi="Arial" w:cs="Arial"/>
          <w:bCs/>
          <w:sz w:val="20"/>
          <w:szCs w:val="20"/>
        </w:rPr>
        <w:t>de identificación de la insuficiencia</w:t>
      </w:r>
      <w:r w:rsidR="000B183E">
        <w:rPr>
          <w:rFonts w:ascii="Arial" w:hAnsi="Arial" w:cs="Arial"/>
          <w:bCs/>
          <w:sz w:val="20"/>
          <w:szCs w:val="20"/>
        </w:rPr>
        <w:t xml:space="preserve">, </w:t>
      </w:r>
      <w:r w:rsidR="000B183E" w:rsidRPr="0050501C">
        <w:rPr>
          <w:rFonts w:ascii="Arial" w:hAnsi="Arial" w:cs="Arial"/>
          <w:sz w:val="20"/>
          <w:szCs w:val="20"/>
        </w:rPr>
        <w:t>que corresponde al corte de la información de los activos.</w:t>
      </w:r>
    </w:p>
    <w:p w14:paraId="53149218" w14:textId="77777777" w:rsidR="00EA0D46" w:rsidRDefault="00EA0D46" w:rsidP="009D74E6">
      <w:pPr>
        <w:jc w:val="both"/>
        <w:rPr>
          <w:rFonts w:ascii="Arial" w:hAnsi="Arial" w:cs="Arial"/>
          <w:bCs/>
          <w:sz w:val="20"/>
          <w:szCs w:val="20"/>
        </w:rPr>
      </w:pPr>
    </w:p>
    <w:p w14:paraId="3D305621" w14:textId="3029BB9D" w:rsidR="002304AF" w:rsidRPr="00724905" w:rsidRDefault="009D74E6" w:rsidP="00F23C11">
      <w:pPr>
        <w:jc w:val="both"/>
        <w:rPr>
          <w:rFonts w:ascii="Arial" w:hAnsi="Arial" w:cs="Arial"/>
          <w:bCs/>
          <w:sz w:val="20"/>
          <w:szCs w:val="20"/>
        </w:rPr>
      </w:pPr>
      <w:r w:rsidRPr="009D74E6">
        <w:rPr>
          <w:rFonts w:ascii="Arial" w:hAnsi="Arial" w:cs="Arial"/>
          <w:bCs/>
          <w:sz w:val="20"/>
          <w:szCs w:val="20"/>
        </w:rPr>
        <w:t xml:space="preserve">La reserva se podrá liberar </w:t>
      </w:r>
      <w:r w:rsidR="001703F7">
        <w:rPr>
          <w:rFonts w:ascii="Arial" w:hAnsi="Arial" w:cs="Arial"/>
          <w:bCs/>
          <w:sz w:val="20"/>
          <w:szCs w:val="20"/>
        </w:rPr>
        <w:t xml:space="preserve">total o parcialmente </w:t>
      </w:r>
      <w:r w:rsidRPr="009D74E6">
        <w:rPr>
          <w:rFonts w:ascii="Arial" w:hAnsi="Arial" w:cs="Arial"/>
          <w:bCs/>
          <w:sz w:val="20"/>
          <w:szCs w:val="20"/>
        </w:rPr>
        <w:t>por la cuantía en exceso en el evento en que se reduzcan las insuficiencias con respecto al cálculo del periodo anterior</w:t>
      </w:r>
      <w:r w:rsidR="001703F7">
        <w:rPr>
          <w:rFonts w:ascii="Arial" w:hAnsi="Arial" w:cs="Arial"/>
          <w:bCs/>
          <w:sz w:val="20"/>
          <w:szCs w:val="20"/>
        </w:rPr>
        <w:t>.</w:t>
      </w:r>
    </w:p>
    <w:p w14:paraId="05C09C19" w14:textId="77777777" w:rsidR="00EB475F" w:rsidRDefault="00EB475F" w:rsidP="00F23C11">
      <w:pPr>
        <w:jc w:val="both"/>
        <w:rPr>
          <w:rFonts w:ascii="Arial" w:hAnsi="Arial" w:cs="Arial"/>
          <w:b/>
          <w:sz w:val="20"/>
          <w:szCs w:val="20"/>
          <w:lang w:val="es-CO"/>
        </w:rPr>
      </w:pPr>
    </w:p>
    <w:p w14:paraId="74E8CAA5" w14:textId="45DADAF7" w:rsidR="00C90C00" w:rsidRPr="00220401" w:rsidRDefault="009A4E89" w:rsidP="00BE2CFC">
      <w:pPr>
        <w:pStyle w:val="Prrafodelista"/>
        <w:numPr>
          <w:ilvl w:val="1"/>
          <w:numId w:val="1"/>
        </w:numPr>
        <w:ind w:left="851" w:hanging="851"/>
        <w:jc w:val="both"/>
        <w:rPr>
          <w:rFonts w:ascii="Arial" w:hAnsi="Arial" w:cs="Arial"/>
          <w:b/>
          <w:sz w:val="20"/>
          <w:szCs w:val="20"/>
          <w:lang w:val="es-CO"/>
        </w:rPr>
      </w:pPr>
      <w:r w:rsidRPr="00220401">
        <w:rPr>
          <w:rFonts w:ascii="Arial" w:hAnsi="Arial" w:cs="Arial"/>
          <w:b/>
          <w:sz w:val="20"/>
          <w:szCs w:val="20"/>
          <w:lang w:val="es-CO"/>
        </w:rPr>
        <w:t>Reserva de siniestros pendientes</w:t>
      </w:r>
    </w:p>
    <w:p w14:paraId="4CA1FFCD" w14:textId="77777777" w:rsidR="00543302" w:rsidRDefault="00543302" w:rsidP="00543302">
      <w:pPr>
        <w:jc w:val="both"/>
        <w:rPr>
          <w:rFonts w:ascii="Arial" w:hAnsi="Arial" w:cs="Arial"/>
          <w:b/>
          <w:sz w:val="20"/>
          <w:szCs w:val="20"/>
          <w:lang w:val="es-CO"/>
        </w:rPr>
      </w:pPr>
    </w:p>
    <w:p w14:paraId="233A6293" w14:textId="73529698" w:rsidR="00BA1E5F" w:rsidRDefault="00366887" w:rsidP="00543302">
      <w:pPr>
        <w:jc w:val="both"/>
        <w:rPr>
          <w:rFonts w:ascii="Arial" w:hAnsi="Arial" w:cs="Arial"/>
          <w:bCs/>
          <w:sz w:val="20"/>
          <w:szCs w:val="20"/>
          <w:lang w:val="es-CO"/>
        </w:rPr>
      </w:pPr>
      <w:r>
        <w:rPr>
          <w:rFonts w:ascii="Arial" w:hAnsi="Arial" w:cs="Arial"/>
          <w:bCs/>
          <w:sz w:val="20"/>
          <w:szCs w:val="20"/>
          <w:lang w:val="es-CO"/>
        </w:rPr>
        <w:t>D</w:t>
      </w:r>
      <w:r w:rsidRPr="00202FC9">
        <w:rPr>
          <w:rFonts w:ascii="Arial" w:hAnsi="Arial" w:cs="Arial"/>
          <w:bCs/>
          <w:sz w:val="20"/>
          <w:szCs w:val="20"/>
          <w:lang w:val="es-CO"/>
        </w:rPr>
        <w:t xml:space="preserve">e </w:t>
      </w:r>
      <w:r>
        <w:rPr>
          <w:rFonts w:ascii="Arial" w:hAnsi="Arial" w:cs="Arial"/>
          <w:bCs/>
          <w:sz w:val="20"/>
          <w:szCs w:val="20"/>
          <w:lang w:val="es-CO"/>
        </w:rPr>
        <w:t xml:space="preserve">conformidad </w:t>
      </w:r>
      <w:r w:rsidRPr="00202FC9">
        <w:rPr>
          <w:rFonts w:ascii="Arial" w:hAnsi="Arial" w:cs="Arial"/>
          <w:bCs/>
          <w:sz w:val="20"/>
          <w:szCs w:val="20"/>
          <w:lang w:val="es-CO"/>
        </w:rPr>
        <w:t>con el</w:t>
      </w:r>
      <w:r w:rsidR="005B0006">
        <w:rPr>
          <w:rFonts w:ascii="Arial" w:hAnsi="Arial" w:cs="Arial"/>
          <w:bCs/>
          <w:sz w:val="20"/>
          <w:szCs w:val="20"/>
          <w:lang w:val="es-CO"/>
        </w:rPr>
        <w:t xml:space="preserve"> literal </w:t>
      </w:r>
      <w:r w:rsidR="00492F6A">
        <w:rPr>
          <w:rFonts w:ascii="Arial" w:hAnsi="Arial" w:cs="Arial"/>
          <w:bCs/>
          <w:sz w:val="20"/>
          <w:szCs w:val="20"/>
          <w:lang w:val="es-CO"/>
        </w:rPr>
        <w:t xml:space="preserve">(d) </w:t>
      </w:r>
      <w:r w:rsidR="008B2975">
        <w:rPr>
          <w:rFonts w:ascii="Arial" w:hAnsi="Arial" w:cs="Arial"/>
          <w:bCs/>
          <w:sz w:val="20"/>
          <w:szCs w:val="20"/>
          <w:lang w:val="es-CO"/>
        </w:rPr>
        <w:t>del</w:t>
      </w:r>
      <w:r w:rsidRPr="00202FC9">
        <w:rPr>
          <w:rFonts w:ascii="Arial" w:hAnsi="Arial" w:cs="Arial"/>
          <w:bCs/>
          <w:sz w:val="20"/>
          <w:szCs w:val="20"/>
          <w:lang w:val="es-CO"/>
        </w:rPr>
        <w:t xml:space="preserve"> artículo 2.31.4.</w:t>
      </w:r>
      <w:r w:rsidR="008B2975">
        <w:rPr>
          <w:rFonts w:ascii="Arial" w:hAnsi="Arial" w:cs="Arial"/>
          <w:bCs/>
          <w:sz w:val="20"/>
          <w:szCs w:val="20"/>
          <w:lang w:val="es-CO"/>
        </w:rPr>
        <w:t>1</w:t>
      </w:r>
      <w:r w:rsidRPr="00202FC9">
        <w:rPr>
          <w:rFonts w:ascii="Arial" w:hAnsi="Arial" w:cs="Arial"/>
          <w:bCs/>
          <w:sz w:val="20"/>
          <w:szCs w:val="20"/>
          <w:lang w:val="es-CO"/>
        </w:rPr>
        <w:t>.</w:t>
      </w:r>
      <w:r>
        <w:rPr>
          <w:rFonts w:ascii="Arial" w:hAnsi="Arial" w:cs="Arial"/>
          <w:bCs/>
          <w:sz w:val="20"/>
          <w:szCs w:val="20"/>
          <w:lang w:val="es-CO"/>
        </w:rPr>
        <w:t>2</w:t>
      </w:r>
      <w:r w:rsidRPr="00202FC9">
        <w:rPr>
          <w:rFonts w:ascii="Arial" w:hAnsi="Arial" w:cs="Arial"/>
          <w:bCs/>
          <w:sz w:val="20"/>
          <w:szCs w:val="20"/>
          <w:lang w:val="es-CO"/>
        </w:rPr>
        <w:t>. del Decreto 2555 de 2010</w:t>
      </w:r>
      <w:r>
        <w:rPr>
          <w:rFonts w:ascii="Arial" w:hAnsi="Arial" w:cs="Arial"/>
          <w:bCs/>
          <w:sz w:val="20"/>
          <w:szCs w:val="20"/>
          <w:lang w:val="es-CO"/>
        </w:rPr>
        <w:t xml:space="preserve"> la </w:t>
      </w:r>
      <w:r w:rsidR="00495B24">
        <w:rPr>
          <w:rFonts w:ascii="Arial" w:hAnsi="Arial" w:cs="Arial"/>
          <w:bCs/>
          <w:sz w:val="20"/>
          <w:szCs w:val="20"/>
          <w:lang w:val="es-CO"/>
        </w:rPr>
        <w:t xml:space="preserve">reserva </w:t>
      </w:r>
      <w:r w:rsidR="005B33F0">
        <w:rPr>
          <w:rFonts w:ascii="Arial" w:hAnsi="Arial" w:cs="Arial"/>
          <w:bCs/>
          <w:sz w:val="20"/>
          <w:szCs w:val="20"/>
          <w:lang w:val="es-CO"/>
        </w:rPr>
        <w:t xml:space="preserve">de siniestros pendientes se </w:t>
      </w:r>
      <w:r w:rsidR="00C234CE">
        <w:rPr>
          <w:rFonts w:ascii="Arial" w:hAnsi="Arial" w:cs="Arial"/>
          <w:bCs/>
          <w:sz w:val="20"/>
          <w:szCs w:val="20"/>
          <w:lang w:val="es-CO"/>
        </w:rPr>
        <w:t xml:space="preserve">compone </w:t>
      </w:r>
      <w:r w:rsidR="004D41A0">
        <w:rPr>
          <w:rFonts w:ascii="Arial" w:hAnsi="Arial" w:cs="Arial"/>
          <w:bCs/>
          <w:sz w:val="20"/>
          <w:szCs w:val="20"/>
          <w:lang w:val="es-CO"/>
        </w:rPr>
        <w:t>de</w:t>
      </w:r>
      <w:r w:rsidR="003A2F12">
        <w:rPr>
          <w:rFonts w:ascii="Arial" w:hAnsi="Arial" w:cs="Arial"/>
          <w:bCs/>
          <w:sz w:val="20"/>
          <w:szCs w:val="20"/>
          <w:lang w:val="es-CO"/>
        </w:rPr>
        <w:t>: (i)</w:t>
      </w:r>
      <w:r w:rsidR="00C234CE">
        <w:rPr>
          <w:rFonts w:ascii="Arial" w:hAnsi="Arial" w:cs="Arial"/>
          <w:bCs/>
          <w:sz w:val="20"/>
          <w:szCs w:val="20"/>
          <w:lang w:val="es-CO"/>
        </w:rPr>
        <w:t xml:space="preserve"> la </w:t>
      </w:r>
      <w:r w:rsidR="007979BA">
        <w:rPr>
          <w:rFonts w:ascii="Arial" w:hAnsi="Arial" w:cs="Arial"/>
          <w:bCs/>
          <w:sz w:val="20"/>
          <w:szCs w:val="20"/>
          <w:lang w:val="es-CO"/>
        </w:rPr>
        <w:t>reserva de</w:t>
      </w:r>
      <w:r w:rsidR="003A2F12">
        <w:rPr>
          <w:rFonts w:ascii="Arial" w:hAnsi="Arial" w:cs="Arial"/>
          <w:bCs/>
          <w:sz w:val="20"/>
          <w:szCs w:val="20"/>
          <w:lang w:val="es-CO"/>
        </w:rPr>
        <w:t xml:space="preserve"> siniestros avisados; y (</w:t>
      </w:r>
      <w:proofErr w:type="spellStart"/>
      <w:r w:rsidR="003A2F12">
        <w:rPr>
          <w:rFonts w:ascii="Arial" w:hAnsi="Arial" w:cs="Arial"/>
          <w:bCs/>
          <w:sz w:val="20"/>
          <w:szCs w:val="20"/>
          <w:lang w:val="es-CO"/>
        </w:rPr>
        <w:t>ii</w:t>
      </w:r>
      <w:proofErr w:type="spellEnd"/>
      <w:r w:rsidR="003A2F12">
        <w:rPr>
          <w:rFonts w:ascii="Arial" w:hAnsi="Arial" w:cs="Arial"/>
          <w:bCs/>
          <w:sz w:val="20"/>
          <w:szCs w:val="20"/>
          <w:lang w:val="es-CO"/>
        </w:rPr>
        <w:t xml:space="preserve">) la reserva de </w:t>
      </w:r>
      <w:r w:rsidR="003A2F12" w:rsidRPr="008D1008">
        <w:rPr>
          <w:rFonts w:ascii="Arial" w:hAnsi="Arial" w:cs="Arial"/>
          <w:bCs/>
          <w:sz w:val="20"/>
          <w:szCs w:val="20"/>
          <w:lang w:val="es-CO"/>
        </w:rPr>
        <w:t>siniestros ocurridos no avisados</w:t>
      </w:r>
      <w:r w:rsidR="00F574FD" w:rsidRPr="008D1008">
        <w:rPr>
          <w:rFonts w:ascii="Arial" w:hAnsi="Arial" w:cs="Arial"/>
          <w:bCs/>
          <w:sz w:val="20"/>
          <w:szCs w:val="20"/>
          <w:lang w:val="es-CO"/>
        </w:rPr>
        <w:t>.</w:t>
      </w:r>
      <w:r w:rsidR="00BC0896">
        <w:rPr>
          <w:rFonts w:ascii="Arial" w:hAnsi="Arial" w:cs="Arial"/>
          <w:bCs/>
          <w:sz w:val="20"/>
          <w:szCs w:val="20"/>
          <w:lang w:val="es-CO"/>
        </w:rPr>
        <w:t xml:space="preserve"> </w:t>
      </w:r>
    </w:p>
    <w:p w14:paraId="4A5F1F34" w14:textId="77777777" w:rsidR="00BA1E5F" w:rsidRDefault="00BA1E5F" w:rsidP="00543302">
      <w:pPr>
        <w:jc w:val="both"/>
        <w:rPr>
          <w:rFonts w:ascii="Arial" w:hAnsi="Arial" w:cs="Arial"/>
          <w:bCs/>
          <w:sz w:val="20"/>
          <w:szCs w:val="20"/>
          <w:lang w:val="es-CO"/>
        </w:rPr>
      </w:pPr>
    </w:p>
    <w:p w14:paraId="02A7BD5A" w14:textId="220D05A5" w:rsidR="005479D6" w:rsidRDefault="00DD1D82" w:rsidP="00595012">
      <w:pPr>
        <w:jc w:val="both"/>
        <w:rPr>
          <w:rFonts w:ascii="Arial" w:hAnsi="Arial" w:cs="Arial"/>
          <w:bCs/>
          <w:sz w:val="20"/>
          <w:szCs w:val="20"/>
          <w:lang w:val="es-CO"/>
        </w:rPr>
      </w:pPr>
      <w:r w:rsidRPr="00BA1E5F">
        <w:rPr>
          <w:rFonts w:ascii="Arial" w:hAnsi="Arial" w:cs="Arial"/>
          <w:bCs/>
          <w:sz w:val="20"/>
          <w:szCs w:val="20"/>
          <w:lang w:val="es-CO"/>
        </w:rPr>
        <w:t xml:space="preserve">El cálculo de estas dos reservas se debe estimar atendiendo </w:t>
      </w:r>
      <w:r w:rsidR="00655149" w:rsidRPr="00BA1E5F">
        <w:rPr>
          <w:rFonts w:ascii="Arial" w:hAnsi="Arial" w:cs="Arial"/>
          <w:bCs/>
          <w:sz w:val="20"/>
          <w:szCs w:val="20"/>
          <w:lang w:val="es-CO"/>
        </w:rPr>
        <w:t xml:space="preserve">a </w:t>
      </w:r>
      <w:r w:rsidRPr="00BA1E5F">
        <w:rPr>
          <w:rFonts w:ascii="Arial" w:hAnsi="Arial" w:cs="Arial"/>
          <w:bCs/>
          <w:sz w:val="20"/>
          <w:szCs w:val="20"/>
          <w:lang w:val="es-CO"/>
        </w:rPr>
        <w:t>los requisitos</w:t>
      </w:r>
      <w:r w:rsidR="00655149" w:rsidRPr="00BA1E5F">
        <w:rPr>
          <w:rFonts w:ascii="Arial" w:hAnsi="Arial" w:cs="Arial"/>
          <w:bCs/>
          <w:sz w:val="20"/>
          <w:szCs w:val="20"/>
          <w:lang w:val="es-CO"/>
        </w:rPr>
        <w:t xml:space="preserve"> previstos </w:t>
      </w:r>
      <w:r w:rsidRPr="00BA1E5F">
        <w:rPr>
          <w:rFonts w:ascii="Arial" w:hAnsi="Arial" w:cs="Arial"/>
          <w:bCs/>
          <w:sz w:val="20"/>
          <w:szCs w:val="20"/>
          <w:lang w:val="es-CO"/>
        </w:rPr>
        <w:t xml:space="preserve">en el </w:t>
      </w:r>
      <w:r w:rsidR="0023031E">
        <w:rPr>
          <w:rFonts w:ascii="Arial" w:hAnsi="Arial" w:cs="Arial"/>
          <w:bCs/>
          <w:sz w:val="20"/>
          <w:szCs w:val="20"/>
          <w:lang w:val="es-CO"/>
        </w:rPr>
        <w:t>c</w:t>
      </w:r>
      <w:r w:rsidRPr="00BA1E5F">
        <w:rPr>
          <w:rFonts w:ascii="Arial" w:hAnsi="Arial" w:cs="Arial"/>
          <w:bCs/>
          <w:sz w:val="20"/>
          <w:szCs w:val="20"/>
          <w:lang w:val="es-CO"/>
        </w:rPr>
        <w:t xml:space="preserve">apítulo </w:t>
      </w:r>
      <w:r w:rsidR="002C6CCF" w:rsidRPr="00BA1E5F">
        <w:rPr>
          <w:rFonts w:ascii="Arial" w:hAnsi="Arial" w:cs="Arial"/>
          <w:bCs/>
          <w:sz w:val="20"/>
          <w:szCs w:val="20"/>
          <w:lang w:val="es-CO"/>
        </w:rPr>
        <w:t xml:space="preserve">IV </w:t>
      </w:r>
      <w:r w:rsidRPr="00BA1E5F">
        <w:rPr>
          <w:rFonts w:ascii="Arial" w:hAnsi="Arial" w:cs="Arial"/>
          <w:bCs/>
          <w:sz w:val="20"/>
          <w:szCs w:val="20"/>
          <w:lang w:val="es-CO"/>
        </w:rPr>
        <w:t xml:space="preserve">del </w:t>
      </w:r>
      <w:r w:rsidR="0023031E">
        <w:rPr>
          <w:rFonts w:ascii="Arial" w:hAnsi="Arial" w:cs="Arial"/>
          <w:bCs/>
          <w:sz w:val="20"/>
          <w:szCs w:val="20"/>
          <w:lang w:val="es-CO"/>
        </w:rPr>
        <w:t>t</w:t>
      </w:r>
      <w:r w:rsidRPr="00BA1E5F">
        <w:rPr>
          <w:rFonts w:ascii="Arial" w:hAnsi="Arial" w:cs="Arial"/>
          <w:bCs/>
          <w:sz w:val="20"/>
          <w:szCs w:val="20"/>
          <w:lang w:val="es-CO"/>
        </w:rPr>
        <w:t xml:space="preserve">ítulo </w:t>
      </w:r>
      <w:r w:rsidR="002C6CCF" w:rsidRPr="00BA1E5F">
        <w:rPr>
          <w:rFonts w:ascii="Arial" w:hAnsi="Arial" w:cs="Arial"/>
          <w:bCs/>
          <w:sz w:val="20"/>
          <w:szCs w:val="20"/>
          <w:lang w:val="es-CO"/>
        </w:rPr>
        <w:t>4</w:t>
      </w:r>
      <w:r w:rsidRPr="00BA1E5F">
        <w:rPr>
          <w:rFonts w:ascii="Arial" w:hAnsi="Arial" w:cs="Arial"/>
          <w:bCs/>
          <w:sz w:val="20"/>
          <w:szCs w:val="20"/>
          <w:lang w:val="es-CO"/>
        </w:rPr>
        <w:t xml:space="preserve"> del </w:t>
      </w:r>
      <w:r w:rsidR="0023031E">
        <w:rPr>
          <w:rFonts w:ascii="Arial" w:hAnsi="Arial" w:cs="Arial"/>
          <w:bCs/>
          <w:sz w:val="20"/>
          <w:szCs w:val="20"/>
          <w:lang w:val="es-CO"/>
        </w:rPr>
        <w:t>l</w:t>
      </w:r>
      <w:r w:rsidRPr="00BA1E5F">
        <w:rPr>
          <w:rFonts w:ascii="Arial" w:hAnsi="Arial" w:cs="Arial"/>
          <w:bCs/>
          <w:sz w:val="20"/>
          <w:szCs w:val="20"/>
          <w:lang w:val="es-CO"/>
        </w:rPr>
        <w:t xml:space="preserve">ibro 31 del Decreto 2555 </w:t>
      </w:r>
      <w:r w:rsidR="002C6CCF" w:rsidRPr="00BA1E5F">
        <w:rPr>
          <w:rFonts w:ascii="Arial" w:hAnsi="Arial" w:cs="Arial"/>
          <w:bCs/>
          <w:sz w:val="20"/>
          <w:szCs w:val="20"/>
          <w:lang w:val="es-CO"/>
        </w:rPr>
        <w:t>de 2010</w:t>
      </w:r>
      <w:r w:rsidR="00BA1E5F" w:rsidRPr="00BA1E5F">
        <w:rPr>
          <w:rFonts w:ascii="Arial" w:hAnsi="Arial" w:cs="Arial"/>
          <w:bCs/>
          <w:sz w:val="20"/>
          <w:szCs w:val="20"/>
          <w:lang w:val="es-CO"/>
        </w:rPr>
        <w:t xml:space="preserve">. </w:t>
      </w:r>
      <w:r w:rsidR="008B360D">
        <w:rPr>
          <w:rFonts w:ascii="Arial" w:hAnsi="Arial" w:cs="Arial"/>
          <w:bCs/>
          <w:sz w:val="20"/>
          <w:szCs w:val="20"/>
          <w:lang w:val="es-CO"/>
        </w:rPr>
        <w:t>Para</w:t>
      </w:r>
      <w:r w:rsidR="008D1008" w:rsidRPr="002F0A18">
        <w:rPr>
          <w:rFonts w:ascii="Arial" w:hAnsi="Arial" w:cs="Arial"/>
          <w:bCs/>
          <w:sz w:val="20"/>
          <w:szCs w:val="20"/>
          <w:lang w:val="es-CO"/>
        </w:rPr>
        <w:t xml:space="preserve"> la mejor estimación de </w:t>
      </w:r>
      <w:r w:rsidR="00BA1E5F">
        <w:rPr>
          <w:rFonts w:ascii="Arial" w:hAnsi="Arial" w:cs="Arial"/>
          <w:bCs/>
          <w:sz w:val="20"/>
          <w:szCs w:val="20"/>
          <w:lang w:val="es-CO"/>
        </w:rPr>
        <w:t>estas dos</w:t>
      </w:r>
      <w:r w:rsidR="008D1008" w:rsidRPr="002F0A18">
        <w:rPr>
          <w:rFonts w:ascii="Arial" w:hAnsi="Arial" w:cs="Arial"/>
          <w:bCs/>
          <w:sz w:val="20"/>
          <w:szCs w:val="20"/>
          <w:lang w:val="es-CO"/>
        </w:rPr>
        <w:t xml:space="preserve"> reserva</w:t>
      </w:r>
      <w:r w:rsidR="008D1008" w:rsidRPr="00BA1E5F">
        <w:rPr>
          <w:rFonts w:ascii="Arial" w:hAnsi="Arial" w:cs="Arial"/>
          <w:bCs/>
          <w:sz w:val="20"/>
          <w:szCs w:val="20"/>
          <w:lang w:val="es-CO"/>
        </w:rPr>
        <w:t>s</w:t>
      </w:r>
      <w:r w:rsidR="008D1008" w:rsidRPr="002F0A18">
        <w:rPr>
          <w:rFonts w:ascii="Arial" w:hAnsi="Arial" w:cs="Arial"/>
          <w:bCs/>
          <w:sz w:val="20"/>
          <w:szCs w:val="20"/>
          <w:lang w:val="es-CO"/>
        </w:rPr>
        <w:t xml:space="preserve"> </w:t>
      </w:r>
      <w:r w:rsidR="008B360D">
        <w:rPr>
          <w:rFonts w:ascii="Arial" w:hAnsi="Arial" w:cs="Arial"/>
          <w:bCs/>
          <w:sz w:val="20"/>
          <w:szCs w:val="20"/>
          <w:lang w:val="es-CO"/>
        </w:rPr>
        <w:t xml:space="preserve">las entidades aseguradoras podrán efectuar </w:t>
      </w:r>
      <w:r w:rsidR="00AF0532">
        <w:rPr>
          <w:rFonts w:ascii="Arial" w:hAnsi="Arial" w:cs="Arial"/>
          <w:bCs/>
          <w:sz w:val="20"/>
          <w:szCs w:val="20"/>
          <w:lang w:val="es-CO"/>
        </w:rPr>
        <w:t>un solo</w:t>
      </w:r>
      <w:r w:rsidR="008B360D">
        <w:rPr>
          <w:rFonts w:ascii="Arial" w:hAnsi="Arial" w:cs="Arial"/>
          <w:bCs/>
          <w:sz w:val="20"/>
          <w:szCs w:val="20"/>
          <w:lang w:val="es-CO"/>
        </w:rPr>
        <w:t xml:space="preserve"> cálculo </w:t>
      </w:r>
      <w:r w:rsidR="00DD752A">
        <w:rPr>
          <w:rFonts w:ascii="Arial" w:hAnsi="Arial" w:cs="Arial"/>
          <w:bCs/>
          <w:sz w:val="20"/>
          <w:szCs w:val="20"/>
          <w:lang w:val="es-CO"/>
        </w:rPr>
        <w:t>del ajuste por riesgo no financiero correspondiente a la reserva de siniestros pendientes</w:t>
      </w:r>
      <w:r w:rsidR="0020626E">
        <w:rPr>
          <w:rFonts w:ascii="Arial" w:hAnsi="Arial" w:cs="Arial"/>
          <w:bCs/>
          <w:sz w:val="20"/>
          <w:szCs w:val="20"/>
          <w:lang w:val="es-CO"/>
        </w:rPr>
        <w:t xml:space="preserve">. </w:t>
      </w:r>
      <w:r w:rsidR="0015332D">
        <w:rPr>
          <w:rFonts w:ascii="Arial" w:hAnsi="Arial" w:cs="Arial"/>
          <w:bCs/>
          <w:sz w:val="20"/>
          <w:szCs w:val="20"/>
          <w:lang w:val="es-CO"/>
        </w:rPr>
        <w:t>En</w:t>
      </w:r>
      <w:r w:rsidR="0020626E">
        <w:rPr>
          <w:rFonts w:ascii="Arial" w:hAnsi="Arial" w:cs="Arial"/>
          <w:bCs/>
          <w:sz w:val="20"/>
          <w:szCs w:val="20"/>
          <w:lang w:val="es-CO"/>
        </w:rPr>
        <w:t xml:space="preserve"> el caso de las reservas </w:t>
      </w:r>
      <w:r w:rsidR="00595012">
        <w:rPr>
          <w:rFonts w:ascii="Arial" w:hAnsi="Arial" w:cs="Arial"/>
          <w:bCs/>
          <w:sz w:val="20"/>
          <w:szCs w:val="20"/>
          <w:lang w:val="es-CO"/>
        </w:rPr>
        <w:t>que cuenten con</w:t>
      </w:r>
      <w:r w:rsidR="0015332D">
        <w:rPr>
          <w:rFonts w:ascii="Arial" w:hAnsi="Arial" w:cs="Arial"/>
          <w:bCs/>
          <w:sz w:val="20"/>
          <w:szCs w:val="20"/>
          <w:lang w:val="es-CO"/>
        </w:rPr>
        <w:t xml:space="preserve"> una</w:t>
      </w:r>
      <w:r w:rsidR="00595012">
        <w:rPr>
          <w:rFonts w:ascii="Arial" w:hAnsi="Arial" w:cs="Arial"/>
          <w:bCs/>
          <w:sz w:val="20"/>
          <w:szCs w:val="20"/>
          <w:lang w:val="es-CO"/>
        </w:rPr>
        <w:t xml:space="preserve"> metodología de cálculo especial definida por la SFC no será requerido el ajuste por riesgo no financiero, siempre que la respectiva metodología de cálculo incorpore un factor equivalente.</w:t>
      </w:r>
    </w:p>
    <w:p w14:paraId="223FAFEA" w14:textId="77777777" w:rsidR="005479D6" w:rsidRDefault="005479D6" w:rsidP="00595012">
      <w:pPr>
        <w:jc w:val="both"/>
        <w:rPr>
          <w:rFonts w:ascii="Arial" w:hAnsi="Arial" w:cs="Arial"/>
          <w:bCs/>
          <w:sz w:val="20"/>
          <w:szCs w:val="20"/>
          <w:lang w:val="es-CO"/>
        </w:rPr>
      </w:pPr>
    </w:p>
    <w:p w14:paraId="247D97C1" w14:textId="7E1B1A9A" w:rsidR="00931990" w:rsidRDefault="005E4846" w:rsidP="00595012">
      <w:pPr>
        <w:jc w:val="both"/>
        <w:rPr>
          <w:rFonts w:ascii="Arial" w:hAnsi="Arial" w:cs="Arial"/>
          <w:bCs/>
          <w:sz w:val="20"/>
          <w:szCs w:val="20"/>
          <w:lang w:val="es-CO"/>
        </w:rPr>
      </w:pPr>
      <w:r>
        <w:rPr>
          <w:rFonts w:ascii="Arial" w:hAnsi="Arial" w:cs="Arial"/>
          <w:bCs/>
          <w:sz w:val="20"/>
          <w:szCs w:val="20"/>
          <w:lang w:val="es-CO"/>
        </w:rPr>
        <w:t>Cuando</w:t>
      </w:r>
      <w:r w:rsidR="00485734">
        <w:rPr>
          <w:rFonts w:ascii="Arial" w:hAnsi="Arial" w:cs="Arial"/>
          <w:bCs/>
          <w:sz w:val="20"/>
          <w:szCs w:val="20"/>
          <w:lang w:val="es-CO"/>
        </w:rPr>
        <w:t xml:space="preserve"> l</w:t>
      </w:r>
      <w:r w:rsidR="00F75639" w:rsidRPr="00BA1E5F">
        <w:rPr>
          <w:rFonts w:ascii="Arial" w:hAnsi="Arial" w:cs="Arial"/>
          <w:bCs/>
          <w:sz w:val="20"/>
          <w:szCs w:val="20"/>
          <w:lang w:val="es-CO"/>
        </w:rPr>
        <w:t xml:space="preserve">as entidades </w:t>
      </w:r>
      <w:r>
        <w:rPr>
          <w:rFonts w:ascii="Arial" w:hAnsi="Arial" w:cs="Arial"/>
          <w:bCs/>
          <w:sz w:val="20"/>
          <w:szCs w:val="20"/>
          <w:lang w:val="es-CO"/>
        </w:rPr>
        <w:t xml:space="preserve">realicen un solo cálculo del ajuste por riesgo no financiero para la reserva de riesgos pendientes, </w:t>
      </w:r>
      <w:r w:rsidR="00F75639" w:rsidRPr="00BA1E5F">
        <w:rPr>
          <w:rFonts w:ascii="Arial" w:hAnsi="Arial" w:cs="Arial"/>
          <w:bCs/>
          <w:sz w:val="20"/>
          <w:szCs w:val="20"/>
          <w:lang w:val="es-CO"/>
        </w:rPr>
        <w:t>deben implementar una metodología</w:t>
      </w:r>
      <w:r w:rsidR="004A34B4">
        <w:rPr>
          <w:rFonts w:ascii="Arial" w:hAnsi="Arial" w:cs="Arial"/>
          <w:bCs/>
          <w:sz w:val="20"/>
          <w:szCs w:val="20"/>
          <w:lang w:val="es-CO"/>
        </w:rPr>
        <w:t xml:space="preserve"> que</w:t>
      </w:r>
      <w:r w:rsidR="00485734">
        <w:rPr>
          <w:rFonts w:ascii="Arial" w:hAnsi="Arial" w:cs="Arial"/>
          <w:bCs/>
          <w:sz w:val="20"/>
          <w:szCs w:val="20"/>
          <w:lang w:val="es-CO"/>
        </w:rPr>
        <w:t xml:space="preserve"> les permita asignar </w:t>
      </w:r>
      <w:r w:rsidR="00401C2B">
        <w:rPr>
          <w:rFonts w:ascii="Arial" w:hAnsi="Arial" w:cs="Arial"/>
          <w:bCs/>
          <w:sz w:val="20"/>
          <w:szCs w:val="20"/>
          <w:lang w:val="es-CO"/>
        </w:rPr>
        <w:t>el ajuste por riesgo no financiero tanto a la reserva de siniestros avisados como a la reserva de siniestros ocurridos no avisados. Dicha metodología debe</w:t>
      </w:r>
      <w:r w:rsidR="007B7E31">
        <w:rPr>
          <w:rFonts w:ascii="Arial" w:hAnsi="Arial" w:cs="Arial"/>
          <w:bCs/>
          <w:sz w:val="20"/>
          <w:szCs w:val="20"/>
          <w:lang w:val="es-CO"/>
        </w:rPr>
        <w:t>: (i)</w:t>
      </w:r>
      <w:r w:rsidR="00401C2B">
        <w:rPr>
          <w:rFonts w:ascii="Arial" w:hAnsi="Arial" w:cs="Arial"/>
          <w:bCs/>
          <w:sz w:val="20"/>
          <w:szCs w:val="20"/>
          <w:lang w:val="es-CO"/>
        </w:rPr>
        <w:t xml:space="preserve"> </w:t>
      </w:r>
      <w:r w:rsidR="004A34B4">
        <w:rPr>
          <w:rFonts w:ascii="Arial" w:hAnsi="Arial" w:cs="Arial"/>
          <w:bCs/>
          <w:sz w:val="20"/>
          <w:szCs w:val="20"/>
          <w:lang w:val="es-CO"/>
        </w:rPr>
        <w:t>c</w:t>
      </w:r>
      <w:r w:rsidR="00401C2B">
        <w:rPr>
          <w:rFonts w:ascii="Arial" w:hAnsi="Arial" w:cs="Arial"/>
          <w:bCs/>
          <w:sz w:val="20"/>
          <w:szCs w:val="20"/>
          <w:lang w:val="es-CO"/>
        </w:rPr>
        <w:t>ontar</w:t>
      </w:r>
      <w:r w:rsidR="004A34B4">
        <w:rPr>
          <w:rFonts w:ascii="Arial" w:hAnsi="Arial" w:cs="Arial"/>
          <w:bCs/>
          <w:sz w:val="20"/>
          <w:szCs w:val="20"/>
          <w:lang w:val="es-CO"/>
        </w:rPr>
        <w:t xml:space="preserve"> </w:t>
      </w:r>
      <w:r w:rsidR="00F75639" w:rsidRPr="00BA1E5F">
        <w:rPr>
          <w:rFonts w:ascii="Arial" w:hAnsi="Arial" w:cs="Arial"/>
          <w:bCs/>
          <w:sz w:val="20"/>
          <w:szCs w:val="20"/>
          <w:lang w:val="es-CO"/>
        </w:rPr>
        <w:t xml:space="preserve">con suficiente desarrollo tanto teórico como práctico, que refleje la incertidumbre para </w:t>
      </w:r>
      <w:r w:rsidR="009E6186">
        <w:rPr>
          <w:rFonts w:ascii="Arial" w:hAnsi="Arial" w:cs="Arial"/>
          <w:bCs/>
          <w:sz w:val="20"/>
          <w:szCs w:val="20"/>
          <w:lang w:val="es-CO"/>
        </w:rPr>
        <w:t>la</w:t>
      </w:r>
      <w:r w:rsidR="00F75639" w:rsidRPr="00BA1E5F">
        <w:rPr>
          <w:rFonts w:ascii="Arial" w:hAnsi="Arial" w:cs="Arial"/>
          <w:bCs/>
          <w:sz w:val="20"/>
          <w:szCs w:val="20"/>
          <w:lang w:val="es-CO"/>
        </w:rPr>
        <w:t xml:space="preserve"> estimaci</w:t>
      </w:r>
      <w:r w:rsidR="009E6186">
        <w:rPr>
          <w:rFonts w:ascii="Arial" w:hAnsi="Arial" w:cs="Arial"/>
          <w:bCs/>
          <w:sz w:val="20"/>
          <w:szCs w:val="20"/>
          <w:lang w:val="es-CO"/>
        </w:rPr>
        <w:t>ón de cada una de las reservas</w:t>
      </w:r>
      <w:r w:rsidR="007B7E31">
        <w:rPr>
          <w:rFonts w:ascii="Arial" w:hAnsi="Arial" w:cs="Arial"/>
          <w:bCs/>
          <w:sz w:val="20"/>
          <w:szCs w:val="20"/>
          <w:lang w:val="es-CO"/>
        </w:rPr>
        <w:t>, y (</w:t>
      </w:r>
      <w:proofErr w:type="spellStart"/>
      <w:r w:rsidR="007B7E31">
        <w:rPr>
          <w:rFonts w:ascii="Arial" w:hAnsi="Arial" w:cs="Arial"/>
          <w:bCs/>
          <w:sz w:val="20"/>
          <w:szCs w:val="20"/>
          <w:lang w:val="es-CO"/>
        </w:rPr>
        <w:t>ii</w:t>
      </w:r>
      <w:proofErr w:type="spellEnd"/>
      <w:r w:rsidR="007B7E31">
        <w:rPr>
          <w:rFonts w:ascii="Arial" w:hAnsi="Arial" w:cs="Arial"/>
          <w:bCs/>
          <w:sz w:val="20"/>
          <w:szCs w:val="20"/>
          <w:lang w:val="es-CO"/>
        </w:rPr>
        <w:t>) mantenerse a disposición de la SFC.</w:t>
      </w:r>
    </w:p>
    <w:p w14:paraId="4D527958" w14:textId="77777777" w:rsidR="00C05150" w:rsidRDefault="00C05150" w:rsidP="00543302">
      <w:pPr>
        <w:jc w:val="both"/>
        <w:rPr>
          <w:rFonts w:ascii="Arial" w:hAnsi="Arial" w:cs="Arial"/>
          <w:b/>
          <w:sz w:val="20"/>
          <w:szCs w:val="20"/>
          <w:lang w:val="es-CO"/>
        </w:rPr>
      </w:pPr>
    </w:p>
    <w:p w14:paraId="3C00055A" w14:textId="527A77CA" w:rsidR="00C969A7" w:rsidRPr="00BE582D" w:rsidRDefault="00C969A7" w:rsidP="00BE2CFC">
      <w:pPr>
        <w:pStyle w:val="Prrafodelista"/>
        <w:numPr>
          <w:ilvl w:val="2"/>
          <w:numId w:val="7"/>
        </w:numPr>
        <w:ind w:left="851" w:hanging="851"/>
        <w:jc w:val="both"/>
        <w:rPr>
          <w:rFonts w:ascii="Arial" w:hAnsi="Arial" w:cs="Arial"/>
          <w:bCs/>
          <w:sz w:val="20"/>
          <w:szCs w:val="20"/>
          <w:lang w:val="es-CO"/>
        </w:rPr>
      </w:pPr>
      <w:r w:rsidRPr="00BE582D">
        <w:rPr>
          <w:rFonts w:ascii="Arial" w:hAnsi="Arial" w:cs="Arial"/>
          <w:b/>
          <w:sz w:val="20"/>
          <w:szCs w:val="20"/>
        </w:rPr>
        <w:t>Reserva de siniestros avisados</w:t>
      </w:r>
    </w:p>
    <w:p w14:paraId="73CFED00" w14:textId="77777777" w:rsidR="001913C3" w:rsidRDefault="001913C3" w:rsidP="001913C3">
      <w:pPr>
        <w:jc w:val="both"/>
        <w:rPr>
          <w:rFonts w:ascii="Arial" w:hAnsi="Arial" w:cs="Arial"/>
          <w:bCs/>
          <w:sz w:val="20"/>
          <w:szCs w:val="20"/>
          <w:lang w:val="es-CO"/>
        </w:rPr>
      </w:pPr>
    </w:p>
    <w:p w14:paraId="38C7FF69" w14:textId="1D8FE84E" w:rsidR="00615488" w:rsidRDefault="00FE0D65" w:rsidP="00615488">
      <w:pPr>
        <w:jc w:val="both"/>
        <w:rPr>
          <w:rFonts w:ascii="Arial" w:hAnsi="Arial" w:cs="Arial"/>
          <w:bCs/>
          <w:sz w:val="20"/>
          <w:szCs w:val="20"/>
          <w:lang w:val="es-CO"/>
        </w:rPr>
      </w:pPr>
      <w:r>
        <w:rPr>
          <w:rFonts w:ascii="Arial" w:hAnsi="Arial" w:cs="Arial"/>
          <w:bCs/>
          <w:sz w:val="20"/>
          <w:szCs w:val="20"/>
          <w:lang w:val="es-CO"/>
        </w:rPr>
        <w:t>Esta reserva se debe calcular de conformidad con lo previsto</w:t>
      </w:r>
      <w:r w:rsidR="00DB12A2">
        <w:rPr>
          <w:rFonts w:ascii="Arial" w:hAnsi="Arial" w:cs="Arial"/>
          <w:bCs/>
          <w:sz w:val="20"/>
          <w:szCs w:val="20"/>
          <w:lang w:val="es-CO"/>
        </w:rPr>
        <w:t xml:space="preserve"> en el artículo 2.31.4.4.1. del Decreto 2555 de 2010, </w:t>
      </w:r>
      <w:r w:rsidR="00254BA7">
        <w:rPr>
          <w:rFonts w:ascii="Arial" w:hAnsi="Arial" w:cs="Arial"/>
          <w:bCs/>
          <w:sz w:val="20"/>
          <w:szCs w:val="20"/>
          <w:lang w:val="es-CO"/>
        </w:rPr>
        <w:t xml:space="preserve">es de aplicación obligatoria para todos los ramos </w:t>
      </w:r>
      <w:r w:rsidR="00B129C7">
        <w:rPr>
          <w:rFonts w:ascii="Arial" w:hAnsi="Arial" w:cs="Arial"/>
          <w:bCs/>
          <w:sz w:val="20"/>
          <w:szCs w:val="20"/>
          <w:lang w:val="es-CO"/>
        </w:rPr>
        <w:t>y debe constituirse por siniestro y por cada cobertura</w:t>
      </w:r>
      <w:r w:rsidR="00042CDB">
        <w:rPr>
          <w:rFonts w:ascii="Arial" w:hAnsi="Arial" w:cs="Arial"/>
          <w:bCs/>
          <w:sz w:val="20"/>
          <w:szCs w:val="20"/>
          <w:lang w:val="es-CO"/>
        </w:rPr>
        <w:t>.</w:t>
      </w:r>
    </w:p>
    <w:p w14:paraId="061CB2D7" w14:textId="77777777" w:rsidR="00454CCC" w:rsidRDefault="00454CCC" w:rsidP="00615488">
      <w:pPr>
        <w:jc w:val="both"/>
        <w:rPr>
          <w:rFonts w:ascii="Arial" w:hAnsi="Arial" w:cs="Arial"/>
          <w:bCs/>
          <w:sz w:val="20"/>
          <w:szCs w:val="20"/>
          <w:lang w:val="es-CO"/>
        </w:rPr>
      </w:pPr>
    </w:p>
    <w:p w14:paraId="44E8FF51" w14:textId="574BC9F8" w:rsidR="00EB1D1C" w:rsidRPr="00931990" w:rsidRDefault="0071492E" w:rsidP="0058351E">
      <w:pPr>
        <w:jc w:val="both"/>
        <w:rPr>
          <w:rFonts w:ascii="Arial" w:hAnsi="Arial" w:cs="Arial"/>
          <w:bCs/>
          <w:sz w:val="20"/>
          <w:szCs w:val="20"/>
          <w:lang w:val="es-CO"/>
        </w:rPr>
      </w:pPr>
      <w:r>
        <w:rPr>
          <w:rFonts w:ascii="Arial" w:hAnsi="Arial" w:cs="Arial"/>
          <w:bCs/>
          <w:sz w:val="20"/>
          <w:szCs w:val="20"/>
          <w:lang w:val="es-CO"/>
        </w:rPr>
        <w:t xml:space="preserve">Esta </w:t>
      </w:r>
      <w:r w:rsidR="00E12D79">
        <w:rPr>
          <w:rFonts w:ascii="Arial" w:hAnsi="Arial" w:cs="Arial"/>
          <w:bCs/>
          <w:sz w:val="20"/>
          <w:szCs w:val="20"/>
          <w:lang w:val="es-CO"/>
        </w:rPr>
        <w:t xml:space="preserve">reserva se </w:t>
      </w:r>
      <w:r w:rsidR="00D5295A">
        <w:rPr>
          <w:rFonts w:ascii="Arial" w:hAnsi="Arial" w:cs="Arial"/>
          <w:bCs/>
          <w:sz w:val="20"/>
          <w:szCs w:val="20"/>
          <w:lang w:val="es-CO"/>
        </w:rPr>
        <w:t xml:space="preserve">debe </w:t>
      </w:r>
      <w:r w:rsidR="00E12D79">
        <w:rPr>
          <w:rFonts w:ascii="Arial" w:hAnsi="Arial" w:cs="Arial"/>
          <w:bCs/>
          <w:sz w:val="20"/>
          <w:szCs w:val="20"/>
          <w:lang w:val="es-CO"/>
        </w:rPr>
        <w:t>calcula</w:t>
      </w:r>
      <w:r w:rsidR="00D5295A">
        <w:rPr>
          <w:rFonts w:ascii="Arial" w:hAnsi="Arial" w:cs="Arial"/>
          <w:bCs/>
          <w:sz w:val="20"/>
          <w:szCs w:val="20"/>
          <w:lang w:val="es-CO"/>
        </w:rPr>
        <w:t>r en la fecha en que la entidad tenga conocimiento</w:t>
      </w:r>
      <w:r w:rsidR="001D0F24">
        <w:rPr>
          <w:rFonts w:ascii="Arial" w:hAnsi="Arial" w:cs="Arial"/>
          <w:bCs/>
          <w:sz w:val="20"/>
          <w:szCs w:val="20"/>
          <w:lang w:val="es-CO"/>
        </w:rPr>
        <w:t>, por cualquier medio,</w:t>
      </w:r>
      <w:r w:rsidR="00D5295A">
        <w:rPr>
          <w:rFonts w:ascii="Arial" w:hAnsi="Arial" w:cs="Arial"/>
          <w:bCs/>
          <w:sz w:val="20"/>
          <w:szCs w:val="20"/>
          <w:lang w:val="es-CO"/>
        </w:rPr>
        <w:t xml:space="preserve"> </w:t>
      </w:r>
      <w:r w:rsidR="00755618">
        <w:rPr>
          <w:rFonts w:ascii="Arial" w:hAnsi="Arial" w:cs="Arial"/>
          <w:bCs/>
          <w:sz w:val="20"/>
          <w:szCs w:val="20"/>
          <w:lang w:val="es-CO"/>
        </w:rPr>
        <w:t>de la ocurrencia del siniestro</w:t>
      </w:r>
      <w:r w:rsidR="00E12D79">
        <w:rPr>
          <w:rFonts w:ascii="Arial" w:hAnsi="Arial" w:cs="Arial"/>
          <w:bCs/>
          <w:sz w:val="20"/>
          <w:szCs w:val="20"/>
          <w:lang w:val="es-CO"/>
        </w:rPr>
        <w:t xml:space="preserve"> a partir de </w:t>
      </w:r>
      <w:r w:rsidR="00615488">
        <w:rPr>
          <w:rFonts w:ascii="Arial" w:hAnsi="Arial" w:cs="Arial"/>
          <w:bCs/>
          <w:sz w:val="20"/>
          <w:szCs w:val="20"/>
          <w:lang w:val="es-CO"/>
        </w:rPr>
        <w:t xml:space="preserve">la </w:t>
      </w:r>
      <w:r w:rsidR="00E12D79" w:rsidRPr="00615488">
        <w:rPr>
          <w:rFonts w:ascii="Arial" w:hAnsi="Arial" w:cs="Arial"/>
          <w:bCs/>
          <w:sz w:val="20"/>
          <w:szCs w:val="20"/>
          <w:lang w:val="es-CO"/>
        </w:rPr>
        <w:t>mejor estimación</w:t>
      </w:r>
      <w:r w:rsidR="00C8680E">
        <w:rPr>
          <w:rFonts w:ascii="Arial" w:hAnsi="Arial" w:cs="Arial"/>
          <w:bCs/>
          <w:sz w:val="20"/>
          <w:szCs w:val="20"/>
          <w:lang w:val="es-CO"/>
        </w:rPr>
        <w:t xml:space="preserve"> </w:t>
      </w:r>
      <w:r w:rsidR="00E12D79" w:rsidRPr="00615488" w:rsidDel="00AD697B">
        <w:rPr>
          <w:rFonts w:ascii="Arial" w:hAnsi="Arial" w:cs="Arial"/>
          <w:bCs/>
          <w:sz w:val="20"/>
          <w:szCs w:val="20"/>
          <w:lang w:val="es-CO"/>
        </w:rPr>
        <w:t>en los términos del numeral 3 del presente capítulo</w:t>
      </w:r>
      <w:r w:rsidR="00E12D79" w:rsidRPr="00615488">
        <w:rPr>
          <w:rFonts w:ascii="Arial" w:hAnsi="Arial" w:cs="Arial"/>
          <w:bCs/>
          <w:sz w:val="20"/>
          <w:szCs w:val="20"/>
          <w:lang w:val="es-CO"/>
        </w:rPr>
        <w:t>, incluyendo el ajuste por riesgo no financiero de que trata el numeral 3.4</w:t>
      </w:r>
      <w:r w:rsidR="00BD1A62">
        <w:rPr>
          <w:rFonts w:ascii="Arial" w:hAnsi="Arial" w:cs="Arial"/>
          <w:bCs/>
          <w:sz w:val="20"/>
          <w:szCs w:val="20"/>
          <w:lang w:val="es-CO"/>
        </w:rPr>
        <w:t xml:space="preserve">, bruto de </w:t>
      </w:r>
      <w:r w:rsidR="00560BED">
        <w:rPr>
          <w:rFonts w:ascii="Arial" w:hAnsi="Arial" w:cs="Arial"/>
          <w:bCs/>
          <w:sz w:val="20"/>
          <w:szCs w:val="20"/>
          <w:lang w:val="es-CO"/>
        </w:rPr>
        <w:t>recobros y salvamentos.</w:t>
      </w:r>
    </w:p>
    <w:p w14:paraId="68CAFAF8" w14:textId="77777777" w:rsidR="00E12D79" w:rsidRDefault="00E12D79" w:rsidP="001913C3">
      <w:pPr>
        <w:jc w:val="both"/>
        <w:rPr>
          <w:rFonts w:ascii="Arial" w:hAnsi="Arial" w:cs="Arial"/>
          <w:bCs/>
          <w:sz w:val="20"/>
          <w:szCs w:val="20"/>
          <w:lang w:val="es-CO"/>
        </w:rPr>
      </w:pPr>
    </w:p>
    <w:p w14:paraId="77B53461" w14:textId="7285DA3A" w:rsidR="00C64705" w:rsidRDefault="00A71C3F" w:rsidP="0017043A">
      <w:pPr>
        <w:jc w:val="both"/>
        <w:rPr>
          <w:rFonts w:ascii="Arial" w:hAnsi="Arial" w:cs="Arial"/>
          <w:bCs/>
          <w:sz w:val="20"/>
          <w:szCs w:val="20"/>
        </w:rPr>
      </w:pPr>
      <w:r>
        <w:rPr>
          <w:rFonts w:ascii="Arial" w:hAnsi="Arial" w:cs="Arial"/>
          <w:bCs/>
          <w:sz w:val="20"/>
          <w:szCs w:val="20"/>
          <w:lang w:val="es-CO"/>
        </w:rPr>
        <w:t xml:space="preserve">Para el cálculo de </w:t>
      </w:r>
      <w:r w:rsidR="001B0B0B">
        <w:rPr>
          <w:rFonts w:ascii="Arial" w:hAnsi="Arial" w:cs="Arial"/>
          <w:bCs/>
          <w:sz w:val="20"/>
          <w:szCs w:val="20"/>
          <w:lang w:val="es-CO"/>
        </w:rPr>
        <w:t xml:space="preserve">la mejor estimación </w:t>
      </w:r>
      <w:r w:rsidR="008F3C39">
        <w:rPr>
          <w:rFonts w:ascii="Arial" w:hAnsi="Arial" w:cs="Arial"/>
          <w:bCs/>
          <w:sz w:val="20"/>
          <w:szCs w:val="20"/>
          <w:lang w:val="es-CO"/>
        </w:rPr>
        <w:t>se debe</w:t>
      </w:r>
      <w:r w:rsidR="00560BED">
        <w:rPr>
          <w:rFonts w:ascii="Arial" w:hAnsi="Arial" w:cs="Arial"/>
          <w:bCs/>
          <w:sz w:val="20"/>
          <w:szCs w:val="20"/>
          <w:lang w:val="es-CO"/>
        </w:rPr>
        <w:t>n</w:t>
      </w:r>
      <w:r w:rsidR="008F3C39">
        <w:rPr>
          <w:rFonts w:ascii="Arial" w:hAnsi="Arial" w:cs="Arial"/>
          <w:bCs/>
          <w:sz w:val="20"/>
          <w:szCs w:val="20"/>
          <w:lang w:val="es-CO"/>
        </w:rPr>
        <w:t xml:space="preserve"> incluir</w:t>
      </w:r>
      <w:r w:rsidR="00A7749A">
        <w:rPr>
          <w:rFonts w:ascii="Arial" w:hAnsi="Arial" w:cs="Arial"/>
          <w:bCs/>
          <w:sz w:val="20"/>
          <w:szCs w:val="20"/>
          <w:lang w:val="es-CO"/>
        </w:rPr>
        <w:t xml:space="preserve"> </w:t>
      </w:r>
      <w:r w:rsidR="008C2A57">
        <w:rPr>
          <w:rFonts w:ascii="Arial" w:hAnsi="Arial" w:cs="Arial"/>
          <w:bCs/>
          <w:sz w:val="20"/>
          <w:szCs w:val="20"/>
          <w:lang w:val="es-CO"/>
        </w:rPr>
        <w:t>los costos asociados a la gestión del siniestro</w:t>
      </w:r>
      <w:r w:rsidR="0017043A" w:rsidRPr="0017043A">
        <w:rPr>
          <w:rFonts w:ascii="Arial" w:hAnsi="Arial" w:cs="Arial"/>
          <w:bCs/>
          <w:sz w:val="20"/>
          <w:szCs w:val="20"/>
        </w:rPr>
        <w:t xml:space="preserve">, incluyendo aquellos gastos o costos en que la </w:t>
      </w:r>
      <w:r w:rsidR="002C28E4">
        <w:rPr>
          <w:rFonts w:ascii="Arial" w:hAnsi="Arial" w:cs="Arial"/>
          <w:bCs/>
          <w:sz w:val="20"/>
          <w:szCs w:val="20"/>
        </w:rPr>
        <w:t xml:space="preserve">entidad </w:t>
      </w:r>
      <w:r w:rsidR="0017043A" w:rsidRPr="0017043A">
        <w:rPr>
          <w:rFonts w:ascii="Arial" w:hAnsi="Arial" w:cs="Arial"/>
          <w:bCs/>
          <w:sz w:val="20"/>
          <w:szCs w:val="20"/>
        </w:rPr>
        <w:t>aseguradora debe incurrir para procesar, evaluar y resolver las reclamaciones, tales como</w:t>
      </w:r>
      <w:r w:rsidR="00B81FB4">
        <w:rPr>
          <w:rFonts w:ascii="Arial" w:hAnsi="Arial" w:cs="Arial"/>
          <w:bCs/>
          <w:sz w:val="20"/>
          <w:szCs w:val="20"/>
        </w:rPr>
        <w:t>:</w:t>
      </w:r>
      <w:r w:rsidR="0017043A" w:rsidRPr="0017043A">
        <w:rPr>
          <w:rFonts w:ascii="Arial" w:hAnsi="Arial" w:cs="Arial"/>
          <w:bCs/>
          <w:sz w:val="20"/>
          <w:szCs w:val="20"/>
        </w:rPr>
        <w:t xml:space="preserve"> honorarios de asesoramiento legal y de peritos, costos internos de procesamiento de pagos de siniestros, gastos en sistemas de información de siniestros destinados a definir el valor de liquidación de los mismos y otros egresos de seguros relacionados con la administración de los siniestros.</w:t>
      </w:r>
      <w:r w:rsidR="006B7E86">
        <w:rPr>
          <w:rFonts w:ascii="Arial" w:hAnsi="Arial" w:cs="Arial"/>
          <w:bCs/>
          <w:sz w:val="20"/>
          <w:szCs w:val="20"/>
        </w:rPr>
        <w:t xml:space="preserve"> En todo caso, la estimación de los </w:t>
      </w:r>
      <w:r w:rsidR="00F20ADD">
        <w:rPr>
          <w:rFonts w:ascii="Arial" w:hAnsi="Arial" w:cs="Arial"/>
          <w:bCs/>
          <w:sz w:val="20"/>
          <w:szCs w:val="20"/>
        </w:rPr>
        <w:t xml:space="preserve">flujos </w:t>
      </w:r>
      <w:r w:rsidR="00C64705">
        <w:rPr>
          <w:rFonts w:ascii="Arial" w:hAnsi="Arial" w:cs="Arial"/>
          <w:bCs/>
          <w:sz w:val="20"/>
          <w:szCs w:val="20"/>
          <w:lang w:val="es-CO"/>
        </w:rPr>
        <w:t>debe considerar</w:t>
      </w:r>
      <w:r w:rsidR="00E7132B">
        <w:rPr>
          <w:rFonts w:ascii="Arial" w:hAnsi="Arial" w:cs="Arial"/>
          <w:bCs/>
          <w:sz w:val="20"/>
          <w:szCs w:val="20"/>
          <w:lang w:val="es-CO"/>
        </w:rPr>
        <w:t xml:space="preserve"> todos</w:t>
      </w:r>
      <w:r w:rsidR="00C64705">
        <w:rPr>
          <w:rFonts w:ascii="Arial" w:hAnsi="Arial" w:cs="Arial"/>
          <w:bCs/>
          <w:sz w:val="20"/>
          <w:szCs w:val="20"/>
          <w:lang w:val="es-CO"/>
        </w:rPr>
        <w:t xml:space="preserve"> los lineamientos </w:t>
      </w:r>
      <w:r w:rsidR="00F20ADD">
        <w:rPr>
          <w:rFonts w:ascii="Arial" w:hAnsi="Arial" w:cs="Arial"/>
          <w:bCs/>
          <w:sz w:val="20"/>
          <w:szCs w:val="20"/>
          <w:lang w:val="es-CO"/>
        </w:rPr>
        <w:t>particulares</w:t>
      </w:r>
      <w:r w:rsidR="00C64705">
        <w:rPr>
          <w:rFonts w:ascii="Arial" w:hAnsi="Arial" w:cs="Arial"/>
          <w:bCs/>
          <w:sz w:val="20"/>
          <w:szCs w:val="20"/>
          <w:lang w:val="es-CO"/>
        </w:rPr>
        <w:t xml:space="preserve"> del artículo 2.31.4.4.1. del Decreto 2555 de 2010.</w:t>
      </w:r>
    </w:p>
    <w:p w14:paraId="79C5511D" w14:textId="77777777" w:rsidR="00430DF9" w:rsidRDefault="00430DF9" w:rsidP="00075911">
      <w:pPr>
        <w:jc w:val="both"/>
        <w:rPr>
          <w:rFonts w:ascii="Arial" w:hAnsi="Arial" w:cs="Arial"/>
          <w:bCs/>
          <w:sz w:val="20"/>
          <w:szCs w:val="20"/>
        </w:rPr>
      </w:pPr>
    </w:p>
    <w:p w14:paraId="3B67F399" w14:textId="43889779" w:rsidR="00430DF9" w:rsidRPr="00430DF9" w:rsidRDefault="00430DF9" w:rsidP="00BE2CFC">
      <w:pPr>
        <w:pStyle w:val="Prrafodelista"/>
        <w:numPr>
          <w:ilvl w:val="3"/>
          <w:numId w:val="7"/>
        </w:numPr>
        <w:ind w:left="851" w:hanging="851"/>
        <w:jc w:val="both"/>
        <w:rPr>
          <w:rFonts w:ascii="Arial" w:hAnsi="Arial" w:cs="Arial"/>
          <w:b/>
          <w:sz w:val="20"/>
          <w:szCs w:val="20"/>
        </w:rPr>
      </w:pPr>
      <w:r w:rsidRPr="00430DF9">
        <w:rPr>
          <w:rFonts w:ascii="Arial" w:hAnsi="Arial" w:cs="Arial"/>
          <w:b/>
          <w:sz w:val="20"/>
          <w:szCs w:val="20"/>
        </w:rPr>
        <w:t>Siniestros atípicos</w:t>
      </w:r>
    </w:p>
    <w:p w14:paraId="79E1E5CE" w14:textId="77777777" w:rsidR="00430DF9" w:rsidRDefault="00430DF9" w:rsidP="00075911">
      <w:pPr>
        <w:jc w:val="both"/>
        <w:rPr>
          <w:rFonts w:ascii="Arial" w:hAnsi="Arial" w:cs="Arial"/>
          <w:bCs/>
          <w:sz w:val="20"/>
          <w:szCs w:val="20"/>
          <w:lang w:val="es-CO"/>
        </w:rPr>
      </w:pPr>
    </w:p>
    <w:p w14:paraId="5694484C" w14:textId="441D07FC" w:rsidR="00C878F0" w:rsidRDefault="007722B4" w:rsidP="00075911">
      <w:pPr>
        <w:jc w:val="both"/>
        <w:rPr>
          <w:rFonts w:ascii="Arial" w:hAnsi="Arial" w:cs="Arial"/>
          <w:bCs/>
          <w:sz w:val="20"/>
          <w:szCs w:val="20"/>
          <w:lang w:val="es-CO"/>
        </w:rPr>
      </w:pPr>
      <w:r>
        <w:rPr>
          <w:rFonts w:ascii="Arial" w:hAnsi="Arial" w:cs="Arial"/>
          <w:bCs/>
          <w:sz w:val="20"/>
          <w:szCs w:val="20"/>
          <w:lang w:val="es-CO"/>
        </w:rPr>
        <w:t>En desarrollo del</w:t>
      </w:r>
      <w:r w:rsidR="007F4EED">
        <w:rPr>
          <w:rFonts w:ascii="Arial" w:hAnsi="Arial" w:cs="Arial"/>
          <w:bCs/>
          <w:sz w:val="20"/>
          <w:szCs w:val="20"/>
          <w:lang w:val="es-CO"/>
        </w:rPr>
        <w:t xml:space="preserve"> parágrafo 1 del artículo 2.31.4.4.1. </w:t>
      </w:r>
      <w:r w:rsidR="000C280D">
        <w:rPr>
          <w:rFonts w:ascii="Arial" w:hAnsi="Arial" w:cs="Arial"/>
          <w:bCs/>
          <w:sz w:val="20"/>
          <w:szCs w:val="20"/>
          <w:lang w:val="es-CO"/>
        </w:rPr>
        <w:t xml:space="preserve">del Decreto 2555 de 2010, </w:t>
      </w:r>
      <w:r w:rsidR="00430DF9">
        <w:rPr>
          <w:rFonts w:ascii="Arial" w:hAnsi="Arial" w:cs="Arial"/>
          <w:bCs/>
          <w:sz w:val="20"/>
          <w:szCs w:val="20"/>
          <w:lang w:val="es-CO"/>
        </w:rPr>
        <w:t>como parte de</w:t>
      </w:r>
      <w:r w:rsidR="00075911">
        <w:rPr>
          <w:rFonts w:ascii="Arial" w:hAnsi="Arial" w:cs="Arial"/>
          <w:bCs/>
          <w:sz w:val="20"/>
          <w:szCs w:val="20"/>
          <w:lang w:val="es-CO"/>
        </w:rPr>
        <w:t xml:space="preserve"> la mejor estimación de las obligaciones por siniestros avisados, las entidades aseguradoras deben identificar los siniestros </w:t>
      </w:r>
      <w:r w:rsidR="00737072">
        <w:rPr>
          <w:rFonts w:ascii="Arial" w:hAnsi="Arial" w:cs="Arial"/>
          <w:bCs/>
          <w:sz w:val="20"/>
          <w:szCs w:val="20"/>
          <w:lang w:val="es-CO"/>
        </w:rPr>
        <w:t>atípicos</w:t>
      </w:r>
      <w:r w:rsidR="0061691A">
        <w:rPr>
          <w:rFonts w:ascii="Arial" w:hAnsi="Arial" w:cs="Arial"/>
          <w:bCs/>
          <w:sz w:val="20"/>
          <w:szCs w:val="20"/>
          <w:lang w:val="es-CO"/>
        </w:rPr>
        <w:t xml:space="preserve">, es decir, aquellos </w:t>
      </w:r>
      <w:r w:rsidR="006E5513">
        <w:rPr>
          <w:rFonts w:ascii="Arial" w:hAnsi="Arial" w:cs="Arial"/>
          <w:bCs/>
          <w:sz w:val="20"/>
          <w:szCs w:val="20"/>
          <w:lang w:val="es-CO"/>
        </w:rPr>
        <w:t xml:space="preserve">que </w:t>
      </w:r>
      <w:r w:rsidR="0061691A" w:rsidRPr="00F13532">
        <w:rPr>
          <w:rFonts w:ascii="Arial" w:hAnsi="Arial" w:cs="Arial"/>
          <w:bCs/>
          <w:sz w:val="20"/>
          <w:szCs w:val="20"/>
        </w:rPr>
        <w:t>se encuentr</w:t>
      </w:r>
      <w:r w:rsidR="00ED2757">
        <w:rPr>
          <w:rFonts w:ascii="Arial" w:hAnsi="Arial" w:cs="Arial"/>
          <w:bCs/>
          <w:sz w:val="20"/>
          <w:szCs w:val="20"/>
        </w:rPr>
        <w:t>a</w:t>
      </w:r>
      <w:r w:rsidR="001342DE">
        <w:rPr>
          <w:rFonts w:ascii="Arial" w:hAnsi="Arial" w:cs="Arial"/>
          <w:bCs/>
          <w:sz w:val="20"/>
          <w:szCs w:val="20"/>
        </w:rPr>
        <w:t>n</w:t>
      </w:r>
      <w:r w:rsidR="0061691A" w:rsidRPr="00F13532">
        <w:rPr>
          <w:rFonts w:ascii="Arial" w:hAnsi="Arial" w:cs="Arial"/>
          <w:bCs/>
          <w:sz w:val="20"/>
          <w:szCs w:val="20"/>
        </w:rPr>
        <w:t xml:space="preserve"> fuera de los rangos generalmente considerados de frecuencia y severidad</w:t>
      </w:r>
      <w:r w:rsidR="00BA2093">
        <w:rPr>
          <w:rFonts w:ascii="Arial" w:hAnsi="Arial" w:cs="Arial"/>
          <w:bCs/>
          <w:sz w:val="20"/>
          <w:szCs w:val="20"/>
        </w:rPr>
        <w:t>,</w:t>
      </w:r>
      <w:r w:rsidR="0061691A" w:rsidRPr="00F13532">
        <w:rPr>
          <w:rFonts w:ascii="Arial" w:hAnsi="Arial" w:cs="Arial"/>
          <w:bCs/>
          <w:sz w:val="20"/>
          <w:szCs w:val="20"/>
        </w:rPr>
        <w:t xml:space="preserve"> o que no se ajust</w:t>
      </w:r>
      <w:r w:rsidR="0073085A">
        <w:rPr>
          <w:rFonts w:ascii="Arial" w:hAnsi="Arial" w:cs="Arial"/>
          <w:bCs/>
          <w:sz w:val="20"/>
          <w:szCs w:val="20"/>
        </w:rPr>
        <w:t>a</w:t>
      </w:r>
      <w:r w:rsidR="001342DE">
        <w:rPr>
          <w:rFonts w:ascii="Arial" w:hAnsi="Arial" w:cs="Arial"/>
          <w:bCs/>
          <w:sz w:val="20"/>
          <w:szCs w:val="20"/>
        </w:rPr>
        <w:t>n</w:t>
      </w:r>
      <w:r w:rsidR="0061691A" w:rsidRPr="00F13532">
        <w:rPr>
          <w:rFonts w:ascii="Arial" w:hAnsi="Arial" w:cs="Arial"/>
          <w:bCs/>
          <w:sz w:val="20"/>
          <w:szCs w:val="20"/>
        </w:rPr>
        <w:t xml:space="preserve"> a la experiencia siniestral</w:t>
      </w:r>
      <w:r w:rsidR="001342DE">
        <w:rPr>
          <w:rFonts w:ascii="Arial" w:hAnsi="Arial" w:cs="Arial"/>
          <w:bCs/>
          <w:sz w:val="20"/>
          <w:szCs w:val="20"/>
          <w:lang w:val="es-CO"/>
        </w:rPr>
        <w:t>.</w:t>
      </w:r>
    </w:p>
    <w:p w14:paraId="383B36B1" w14:textId="77777777" w:rsidR="00C878F0" w:rsidRDefault="00C878F0" w:rsidP="00075911">
      <w:pPr>
        <w:jc w:val="both"/>
        <w:rPr>
          <w:rFonts w:ascii="Arial" w:hAnsi="Arial" w:cs="Arial"/>
          <w:bCs/>
          <w:sz w:val="20"/>
          <w:szCs w:val="20"/>
          <w:lang w:val="es-CO"/>
        </w:rPr>
      </w:pPr>
    </w:p>
    <w:p w14:paraId="67417458" w14:textId="44607DC3" w:rsidR="00F13532" w:rsidRDefault="001342DE" w:rsidP="001913C3">
      <w:pPr>
        <w:jc w:val="both"/>
        <w:rPr>
          <w:rFonts w:ascii="Arial" w:hAnsi="Arial" w:cs="Arial"/>
          <w:bCs/>
          <w:sz w:val="20"/>
          <w:szCs w:val="20"/>
          <w:lang w:val="es-CO"/>
        </w:rPr>
      </w:pPr>
      <w:r>
        <w:rPr>
          <w:rFonts w:ascii="Arial" w:hAnsi="Arial" w:cs="Arial"/>
          <w:bCs/>
          <w:sz w:val="20"/>
          <w:szCs w:val="20"/>
          <w:lang w:val="es-CO"/>
        </w:rPr>
        <w:lastRenderedPageBreak/>
        <w:t xml:space="preserve">Para la calificación de los siniestros atípicos, las entidades </w:t>
      </w:r>
      <w:r w:rsidR="00C878F0">
        <w:rPr>
          <w:rFonts w:ascii="Arial" w:hAnsi="Arial" w:cs="Arial"/>
          <w:bCs/>
          <w:sz w:val="20"/>
          <w:szCs w:val="20"/>
          <w:lang w:val="es-CO"/>
        </w:rPr>
        <w:t>debe</w:t>
      </w:r>
      <w:r w:rsidR="008116D7">
        <w:rPr>
          <w:rFonts w:ascii="Arial" w:hAnsi="Arial" w:cs="Arial"/>
          <w:bCs/>
          <w:sz w:val="20"/>
          <w:szCs w:val="20"/>
          <w:lang w:val="es-CO"/>
        </w:rPr>
        <w:t>n</w:t>
      </w:r>
      <w:r w:rsidR="00C878F0">
        <w:rPr>
          <w:rFonts w:ascii="Arial" w:hAnsi="Arial" w:cs="Arial"/>
          <w:bCs/>
          <w:sz w:val="20"/>
          <w:szCs w:val="20"/>
          <w:lang w:val="es-CO"/>
        </w:rPr>
        <w:t xml:space="preserve"> implementar </w:t>
      </w:r>
      <w:r w:rsidR="00D7757A">
        <w:rPr>
          <w:rFonts w:ascii="Arial" w:hAnsi="Arial" w:cs="Arial"/>
          <w:bCs/>
          <w:sz w:val="20"/>
          <w:szCs w:val="20"/>
          <w:lang w:val="es-CO"/>
        </w:rPr>
        <w:t>una metodología</w:t>
      </w:r>
      <w:r w:rsidR="00C878F0">
        <w:rPr>
          <w:rFonts w:ascii="Arial" w:hAnsi="Arial" w:cs="Arial"/>
          <w:bCs/>
          <w:sz w:val="20"/>
          <w:szCs w:val="20"/>
          <w:lang w:val="es-CO"/>
        </w:rPr>
        <w:t xml:space="preserve"> intern</w:t>
      </w:r>
      <w:r w:rsidR="006910E2">
        <w:rPr>
          <w:rFonts w:ascii="Arial" w:hAnsi="Arial" w:cs="Arial"/>
          <w:bCs/>
          <w:sz w:val="20"/>
          <w:szCs w:val="20"/>
          <w:lang w:val="es-CO"/>
        </w:rPr>
        <w:t xml:space="preserve">a </w:t>
      </w:r>
      <w:r w:rsidR="00C878F0">
        <w:rPr>
          <w:rFonts w:ascii="Arial" w:hAnsi="Arial" w:cs="Arial"/>
          <w:bCs/>
          <w:sz w:val="20"/>
          <w:szCs w:val="20"/>
          <w:lang w:val="es-CO"/>
        </w:rPr>
        <w:t xml:space="preserve">con </w:t>
      </w:r>
      <w:r w:rsidR="0073085A">
        <w:rPr>
          <w:rFonts w:ascii="Arial" w:hAnsi="Arial" w:cs="Arial"/>
          <w:bCs/>
          <w:sz w:val="20"/>
          <w:szCs w:val="20"/>
          <w:lang w:val="es-CO"/>
        </w:rPr>
        <w:t xml:space="preserve">suficiente </w:t>
      </w:r>
      <w:r w:rsidR="00C878F0">
        <w:rPr>
          <w:rFonts w:ascii="Arial" w:hAnsi="Arial" w:cs="Arial"/>
          <w:bCs/>
          <w:sz w:val="20"/>
          <w:szCs w:val="20"/>
          <w:lang w:val="es-CO"/>
        </w:rPr>
        <w:t xml:space="preserve">sustento tanto teórico como práctico, </w:t>
      </w:r>
      <w:r w:rsidR="006910E2">
        <w:rPr>
          <w:rFonts w:ascii="Arial" w:hAnsi="Arial" w:cs="Arial"/>
          <w:bCs/>
          <w:sz w:val="20"/>
          <w:szCs w:val="20"/>
          <w:lang w:val="es-CO"/>
        </w:rPr>
        <w:t xml:space="preserve">la cual debe </w:t>
      </w:r>
      <w:r w:rsidR="002A675E">
        <w:rPr>
          <w:rFonts w:ascii="Arial" w:hAnsi="Arial" w:cs="Arial"/>
          <w:bCs/>
          <w:sz w:val="20"/>
          <w:szCs w:val="20"/>
          <w:lang w:val="es-CO"/>
        </w:rPr>
        <w:t>mantenerse a disposición de la SFC.</w:t>
      </w:r>
    </w:p>
    <w:p w14:paraId="270F4499" w14:textId="77777777" w:rsidR="00BF682D" w:rsidRDefault="00BF682D" w:rsidP="001913C3">
      <w:pPr>
        <w:jc w:val="both"/>
        <w:rPr>
          <w:rFonts w:ascii="Arial" w:hAnsi="Arial" w:cs="Arial"/>
          <w:bCs/>
          <w:sz w:val="20"/>
          <w:szCs w:val="20"/>
          <w:lang w:val="es-CO"/>
        </w:rPr>
      </w:pPr>
    </w:p>
    <w:p w14:paraId="55838394" w14:textId="49383CE9" w:rsidR="00C313FD" w:rsidRDefault="00396EC3" w:rsidP="00F14402">
      <w:pPr>
        <w:jc w:val="both"/>
        <w:rPr>
          <w:rFonts w:ascii="Arial" w:hAnsi="Arial" w:cs="Arial"/>
          <w:b/>
          <w:sz w:val="20"/>
          <w:szCs w:val="20"/>
          <w:lang w:val="es-CO"/>
        </w:rPr>
      </w:pPr>
      <w:r>
        <w:rPr>
          <w:rFonts w:ascii="Arial" w:hAnsi="Arial" w:cs="Arial"/>
          <w:bCs/>
          <w:sz w:val="20"/>
          <w:szCs w:val="20"/>
          <w:lang w:val="es-CO"/>
        </w:rPr>
        <w:t>Las entidades aseguradoras deben considerar las siguientes instrucciones especiales para el cálculo de la reserva de</w:t>
      </w:r>
      <w:r w:rsidR="00FC5EA2">
        <w:rPr>
          <w:rFonts w:ascii="Arial" w:hAnsi="Arial" w:cs="Arial"/>
          <w:bCs/>
          <w:sz w:val="20"/>
          <w:szCs w:val="20"/>
          <w:lang w:val="es-CO"/>
        </w:rPr>
        <w:t xml:space="preserve"> siniestros avisados</w:t>
      </w:r>
      <w:r w:rsidR="00E30620">
        <w:rPr>
          <w:rFonts w:ascii="Arial" w:hAnsi="Arial" w:cs="Arial"/>
          <w:bCs/>
          <w:sz w:val="20"/>
          <w:szCs w:val="20"/>
          <w:lang w:val="es-CO"/>
        </w:rPr>
        <w:t xml:space="preserve"> para los seguros previsionales de invalidez y sobrevivencia y del seguro de riesgos laborales</w:t>
      </w:r>
      <w:r w:rsidR="00796CED">
        <w:rPr>
          <w:rFonts w:ascii="Arial" w:hAnsi="Arial" w:cs="Arial"/>
          <w:bCs/>
          <w:sz w:val="20"/>
          <w:szCs w:val="20"/>
          <w:lang w:val="es-CO"/>
        </w:rPr>
        <w:t>, atendiendo</w:t>
      </w:r>
      <w:r w:rsidR="000B0290">
        <w:rPr>
          <w:rFonts w:ascii="Arial" w:hAnsi="Arial" w:cs="Arial"/>
          <w:bCs/>
          <w:sz w:val="20"/>
          <w:szCs w:val="20"/>
          <w:lang w:val="es-CO"/>
        </w:rPr>
        <w:t xml:space="preserve"> </w:t>
      </w:r>
      <w:r w:rsidR="00766255">
        <w:rPr>
          <w:rFonts w:ascii="Arial" w:hAnsi="Arial" w:cs="Arial"/>
          <w:bCs/>
          <w:sz w:val="20"/>
          <w:szCs w:val="20"/>
          <w:lang w:val="es-CO"/>
        </w:rPr>
        <w:t xml:space="preserve">las condiciones particulares </w:t>
      </w:r>
      <w:r w:rsidR="00BF60AE">
        <w:rPr>
          <w:rFonts w:ascii="Arial" w:hAnsi="Arial" w:cs="Arial"/>
          <w:bCs/>
          <w:sz w:val="20"/>
          <w:szCs w:val="20"/>
          <w:lang w:val="es-CO"/>
        </w:rPr>
        <w:t xml:space="preserve">de las </w:t>
      </w:r>
      <w:r w:rsidR="00E45BFE">
        <w:rPr>
          <w:rFonts w:ascii="Arial" w:hAnsi="Arial" w:cs="Arial"/>
          <w:bCs/>
          <w:sz w:val="20"/>
          <w:szCs w:val="20"/>
          <w:lang w:val="es-CO"/>
        </w:rPr>
        <w:t xml:space="preserve">diferentes </w:t>
      </w:r>
      <w:r w:rsidR="00BF60AE">
        <w:rPr>
          <w:rFonts w:ascii="Arial" w:hAnsi="Arial" w:cs="Arial"/>
          <w:bCs/>
          <w:sz w:val="20"/>
          <w:szCs w:val="20"/>
          <w:lang w:val="es-CO"/>
        </w:rPr>
        <w:t>carteras de contratos</w:t>
      </w:r>
      <w:r w:rsidR="000B0290">
        <w:rPr>
          <w:rFonts w:ascii="Arial" w:hAnsi="Arial" w:cs="Arial"/>
          <w:bCs/>
          <w:sz w:val="20"/>
          <w:szCs w:val="20"/>
          <w:lang w:val="es-CO"/>
        </w:rPr>
        <w:t>:</w:t>
      </w:r>
    </w:p>
    <w:p w14:paraId="26500A69" w14:textId="77777777" w:rsidR="00C313FD" w:rsidRPr="00626872" w:rsidRDefault="00C313FD" w:rsidP="00F14402">
      <w:pPr>
        <w:jc w:val="both"/>
        <w:rPr>
          <w:rFonts w:ascii="Arial" w:hAnsi="Arial" w:cs="Arial"/>
          <w:b/>
          <w:sz w:val="20"/>
          <w:szCs w:val="20"/>
          <w:lang w:val="es-CO"/>
        </w:rPr>
      </w:pPr>
    </w:p>
    <w:p w14:paraId="2ED4EC52" w14:textId="3EFEF320" w:rsidR="00F14402" w:rsidRPr="00626872" w:rsidRDefault="00F14402" w:rsidP="00BE2CFC">
      <w:pPr>
        <w:pStyle w:val="Prrafodelista"/>
        <w:numPr>
          <w:ilvl w:val="3"/>
          <w:numId w:val="7"/>
        </w:numPr>
        <w:ind w:left="851" w:hanging="851"/>
        <w:jc w:val="both"/>
        <w:rPr>
          <w:rFonts w:ascii="Arial" w:hAnsi="Arial" w:cs="Arial"/>
          <w:b/>
          <w:sz w:val="20"/>
          <w:szCs w:val="20"/>
          <w:lang w:val="es-CO"/>
        </w:rPr>
      </w:pPr>
      <w:r w:rsidRPr="00626872">
        <w:rPr>
          <w:rFonts w:ascii="Arial" w:hAnsi="Arial" w:cs="Arial"/>
          <w:b/>
          <w:sz w:val="20"/>
          <w:szCs w:val="20"/>
          <w:lang w:val="es-CO"/>
        </w:rPr>
        <w:t xml:space="preserve">Reglas especiales para </w:t>
      </w:r>
      <w:r w:rsidR="004C06C8">
        <w:rPr>
          <w:rFonts w:ascii="Arial" w:hAnsi="Arial" w:cs="Arial"/>
          <w:b/>
          <w:sz w:val="20"/>
          <w:szCs w:val="20"/>
          <w:lang w:val="es-CO"/>
        </w:rPr>
        <w:t xml:space="preserve">la reserva de </w:t>
      </w:r>
      <w:r w:rsidRPr="00626872">
        <w:rPr>
          <w:rFonts w:ascii="Arial" w:hAnsi="Arial" w:cs="Arial"/>
          <w:b/>
          <w:sz w:val="20"/>
          <w:szCs w:val="20"/>
          <w:lang w:val="es-CO"/>
        </w:rPr>
        <w:t xml:space="preserve">los seguros </w:t>
      </w:r>
      <w:r w:rsidR="00435FFD">
        <w:rPr>
          <w:rFonts w:ascii="Arial" w:hAnsi="Arial" w:cs="Arial"/>
          <w:b/>
          <w:sz w:val="20"/>
          <w:szCs w:val="20"/>
          <w:lang w:val="es-CO"/>
        </w:rPr>
        <w:t xml:space="preserve">previsionales de invalidez y </w:t>
      </w:r>
      <w:r w:rsidR="004B0AEA">
        <w:rPr>
          <w:rFonts w:ascii="Arial" w:hAnsi="Arial" w:cs="Arial"/>
          <w:b/>
          <w:sz w:val="20"/>
          <w:szCs w:val="20"/>
          <w:lang w:val="es-CO"/>
        </w:rPr>
        <w:t>sobrevivencia</w:t>
      </w:r>
    </w:p>
    <w:p w14:paraId="397AD98F" w14:textId="77777777" w:rsidR="00F14402" w:rsidRDefault="00F14402" w:rsidP="00F14402">
      <w:pPr>
        <w:jc w:val="both"/>
        <w:rPr>
          <w:rFonts w:ascii="Arial" w:hAnsi="Arial" w:cs="Arial"/>
          <w:bCs/>
          <w:sz w:val="20"/>
          <w:szCs w:val="20"/>
          <w:lang w:val="es-CO"/>
        </w:rPr>
      </w:pPr>
    </w:p>
    <w:p w14:paraId="7584731F" w14:textId="7625BD68" w:rsidR="001C792C" w:rsidRDefault="00A710FF" w:rsidP="00E37C14">
      <w:pPr>
        <w:jc w:val="both"/>
        <w:rPr>
          <w:rFonts w:ascii="Arial" w:hAnsi="Arial" w:cs="Arial"/>
          <w:bCs/>
          <w:sz w:val="20"/>
          <w:szCs w:val="20"/>
        </w:rPr>
      </w:pPr>
      <w:r>
        <w:rPr>
          <w:rFonts w:ascii="Arial" w:hAnsi="Arial" w:cs="Arial"/>
          <w:bCs/>
          <w:sz w:val="20"/>
          <w:szCs w:val="20"/>
        </w:rPr>
        <w:t xml:space="preserve">De acuerdo con </w:t>
      </w:r>
      <w:r w:rsidR="00EE5E3C">
        <w:rPr>
          <w:rFonts w:ascii="Arial" w:hAnsi="Arial" w:cs="Arial"/>
          <w:bCs/>
          <w:sz w:val="20"/>
          <w:szCs w:val="20"/>
        </w:rPr>
        <w:t xml:space="preserve">los lineamientos especiales y </w:t>
      </w:r>
      <w:r w:rsidR="00E37C14">
        <w:rPr>
          <w:rFonts w:ascii="Arial" w:hAnsi="Arial" w:cs="Arial"/>
          <w:bCs/>
          <w:sz w:val="20"/>
          <w:szCs w:val="20"/>
        </w:rPr>
        <w:t xml:space="preserve">las facultades señaladas en </w:t>
      </w:r>
      <w:r>
        <w:rPr>
          <w:rFonts w:ascii="Arial" w:hAnsi="Arial" w:cs="Arial"/>
          <w:bCs/>
          <w:sz w:val="20"/>
          <w:szCs w:val="20"/>
        </w:rPr>
        <w:t xml:space="preserve">el artículo </w:t>
      </w:r>
      <w:r w:rsidRPr="00A710FF">
        <w:rPr>
          <w:rFonts w:ascii="Arial" w:hAnsi="Arial" w:cs="Arial"/>
          <w:bCs/>
          <w:sz w:val="20"/>
          <w:szCs w:val="20"/>
        </w:rPr>
        <w:t>2.31.4.4.2.</w:t>
      </w:r>
      <w:r>
        <w:rPr>
          <w:rFonts w:ascii="Arial" w:hAnsi="Arial" w:cs="Arial"/>
          <w:bCs/>
          <w:sz w:val="20"/>
          <w:szCs w:val="20"/>
        </w:rPr>
        <w:t xml:space="preserve"> del Decreto 2555 de 2010, </w:t>
      </w:r>
      <w:r w:rsidR="005A4293">
        <w:rPr>
          <w:rFonts w:ascii="Arial" w:hAnsi="Arial" w:cs="Arial"/>
          <w:bCs/>
          <w:sz w:val="20"/>
          <w:szCs w:val="20"/>
        </w:rPr>
        <w:t>l</w:t>
      </w:r>
      <w:r w:rsidR="00C53080" w:rsidRPr="00C53080">
        <w:rPr>
          <w:rFonts w:ascii="Arial" w:hAnsi="Arial" w:cs="Arial"/>
          <w:bCs/>
          <w:sz w:val="20"/>
          <w:szCs w:val="20"/>
        </w:rPr>
        <w:t xml:space="preserve">as entidades aseguradoras deben constituir la reserva de siniestros avisados del ramo de seguros previsionales de invalidez y sobrevivencia </w:t>
      </w:r>
      <w:r w:rsidR="008A134C">
        <w:rPr>
          <w:rFonts w:ascii="Arial" w:hAnsi="Arial" w:cs="Arial"/>
          <w:bCs/>
          <w:sz w:val="20"/>
          <w:szCs w:val="20"/>
        </w:rPr>
        <w:t>a partir de</w:t>
      </w:r>
      <w:r w:rsidR="00432C47">
        <w:rPr>
          <w:rFonts w:ascii="Arial" w:hAnsi="Arial" w:cs="Arial"/>
          <w:bCs/>
          <w:sz w:val="20"/>
          <w:szCs w:val="20"/>
        </w:rPr>
        <w:t xml:space="preserve"> la metodología establecida en el </w:t>
      </w:r>
      <w:r w:rsidR="00432C47" w:rsidRPr="00454CCC">
        <w:rPr>
          <w:rFonts w:ascii="Arial" w:hAnsi="Arial" w:cs="Arial"/>
          <w:bCs/>
          <w:sz w:val="20"/>
          <w:szCs w:val="20"/>
        </w:rPr>
        <w:t>anexo 7 del presente</w:t>
      </w:r>
      <w:r w:rsidR="00432C47">
        <w:rPr>
          <w:rFonts w:ascii="Arial" w:hAnsi="Arial" w:cs="Arial"/>
          <w:bCs/>
          <w:sz w:val="20"/>
          <w:szCs w:val="20"/>
        </w:rPr>
        <w:t xml:space="preserve"> capítulo</w:t>
      </w:r>
      <w:r w:rsidR="00E37C14">
        <w:rPr>
          <w:rFonts w:ascii="Arial" w:hAnsi="Arial" w:cs="Arial"/>
          <w:bCs/>
          <w:sz w:val="20"/>
          <w:szCs w:val="20"/>
        </w:rPr>
        <w:t>.</w:t>
      </w:r>
    </w:p>
    <w:p w14:paraId="6B2CD47E" w14:textId="77777777" w:rsidR="001C792C" w:rsidRDefault="001C792C" w:rsidP="00C53080">
      <w:pPr>
        <w:jc w:val="both"/>
        <w:rPr>
          <w:rFonts w:ascii="Arial" w:hAnsi="Arial" w:cs="Arial"/>
          <w:bCs/>
          <w:sz w:val="20"/>
          <w:szCs w:val="20"/>
        </w:rPr>
      </w:pPr>
    </w:p>
    <w:p w14:paraId="49093835" w14:textId="3A37D54E" w:rsidR="00C53080" w:rsidRDefault="00442640" w:rsidP="00C53080">
      <w:pPr>
        <w:jc w:val="both"/>
        <w:rPr>
          <w:rFonts w:ascii="Arial" w:hAnsi="Arial" w:cs="Arial"/>
          <w:bCs/>
          <w:sz w:val="20"/>
          <w:szCs w:val="20"/>
        </w:rPr>
      </w:pPr>
      <w:r>
        <w:rPr>
          <w:rFonts w:ascii="Arial" w:hAnsi="Arial" w:cs="Arial"/>
          <w:bCs/>
          <w:sz w:val="20"/>
          <w:szCs w:val="20"/>
        </w:rPr>
        <w:t>En este caso, p</w:t>
      </w:r>
      <w:r w:rsidR="00B53D7C">
        <w:rPr>
          <w:rFonts w:ascii="Arial" w:hAnsi="Arial" w:cs="Arial"/>
          <w:bCs/>
          <w:sz w:val="20"/>
          <w:szCs w:val="20"/>
        </w:rPr>
        <w:t>ara el</w:t>
      </w:r>
      <w:r w:rsidR="00C53080" w:rsidRPr="00C53080">
        <w:rPr>
          <w:rFonts w:ascii="Arial" w:hAnsi="Arial" w:cs="Arial"/>
          <w:bCs/>
          <w:sz w:val="20"/>
          <w:szCs w:val="20"/>
        </w:rPr>
        <w:t xml:space="preserve"> cálculo </w:t>
      </w:r>
      <w:r w:rsidR="00274195">
        <w:rPr>
          <w:rFonts w:ascii="Arial" w:hAnsi="Arial" w:cs="Arial"/>
          <w:bCs/>
          <w:sz w:val="20"/>
          <w:szCs w:val="20"/>
        </w:rPr>
        <w:t xml:space="preserve">de la </w:t>
      </w:r>
      <w:r w:rsidR="00EE5E3C">
        <w:rPr>
          <w:rFonts w:ascii="Arial" w:hAnsi="Arial" w:cs="Arial"/>
          <w:bCs/>
          <w:sz w:val="20"/>
          <w:szCs w:val="20"/>
        </w:rPr>
        <w:t>reserva</w:t>
      </w:r>
      <w:r w:rsidR="00274195">
        <w:rPr>
          <w:rFonts w:ascii="Arial" w:hAnsi="Arial" w:cs="Arial"/>
          <w:bCs/>
          <w:sz w:val="20"/>
          <w:szCs w:val="20"/>
        </w:rPr>
        <w:t xml:space="preserve"> </w:t>
      </w:r>
      <w:r>
        <w:rPr>
          <w:rFonts w:ascii="Arial" w:hAnsi="Arial" w:cs="Arial"/>
          <w:bCs/>
          <w:sz w:val="20"/>
          <w:szCs w:val="20"/>
        </w:rPr>
        <w:t xml:space="preserve">se </w:t>
      </w:r>
      <w:r w:rsidR="00C53080" w:rsidRPr="00C53080">
        <w:rPr>
          <w:rFonts w:ascii="Arial" w:hAnsi="Arial" w:cs="Arial"/>
          <w:bCs/>
          <w:sz w:val="20"/>
          <w:szCs w:val="20"/>
        </w:rPr>
        <w:t>debe</w:t>
      </w:r>
      <w:r>
        <w:rPr>
          <w:rFonts w:ascii="Arial" w:hAnsi="Arial" w:cs="Arial"/>
          <w:bCs/>
          <w:sz w:val="20"/>
          <w:szCs w:val="20"/>
        </w:rPr>
        <w:t>n</w:t>
      </w:r>
      <w:r w:rsidR="00C53080" w:rsidRPr="00C53080">
        <w:rPr>
          <w:rFonts w:ascii="Arial" w:hAnsi="Arial" w:cs="Arial"/>
          <w:bCs/>
          <w:sz w:val="20"/>
          <w:szCs w:val="20"/>
        </w:rPr>
        <w:t xml:space="preserve"> agregar las reservas técnicas constituidas para las siguientes coberturas y gastos:</w:t>
      </w:r>
      <w:r w:rsidR="0043465E">
        <w:rPr>
          <w:rFonts w:ascii="Arial" w:hAnsi="Arial" w:cs="Arial"/>
          <w:bCs/>
          <w:sz w:val="20"/>
          <w:szCs w:val="20"/>
        </w:rPr>
        <w:t xml:space="preserve"> (i)</w:t>
      </w:r>
      <w:r w:rsidR="00C53080" w:rsidRPr="00C53080">
        <w:rPr>
          <w:rFonts w:ascii="Arial" w:hAnsi="Arial" w:cs="Arial"/>
          <w:bCs/>
          <w:sz w:val="20"/>
          <w:szCs w:val="20"/>
        </w:rPr>
        <w:t xml:space="preserve"> suma adicional requerida para la pensión de invalidez y sobrevivencia</w:t>
      </w:r>
      <w:r w:rsidR="0043465E">
        <w:rPr>
          <w:rFonts w:ascii="Arial" w:hAnsi="Arial" w:cs="Arial"/>
          <w:bCs/>
          <w:sz w:val="20"/>
          <w:szCs w:val="20"/>
        </w:rPr>
        <w:t>; (</w:t>
      </w:r>
      <w:proofErr w:type="spellStart"/>
      <w:r w:rsidR="0043465E">
        <w:rPr>
          <w:rFonts w:ascii="Arial" w:hAnsi="Arial" w:cs="Arial"/>
          <w:bCs/>
          <w:sz w:val="20"/>
          <w:szCs w:val="20"/>
        </w:rPr>
        <w:t>ii</w:t>
      </w:r>
      <w:proofErr w:type="spellEnd"/>
      <w:r w:rsidR="0043465E">
        <w:rPr>
          <w:rFonts w:ascii="Arial" w:hAnsi="Arial" w:cs="Arial"/>
          <w:bCs/>
          <w:sz w:val="20"/>
          <w:szCs w:val="20"/>
        </w:rPr>
        <w:t>)</w:t>
      </w:r>
      <w:r w:rsidR="00C53080" w:rsidRPr="00C53080">
        <w:rPr>
          <w:rFonts w:ascii="Arial" w:hAnsi="Arial" w:cs="Arial"/>
          <w:bCs/>
          <w:sz w:val="20"/>
          <w:szCs w:val="20"/>
        </w:rPr>
        <w:t xml:space="preserve"> auxilio funerario</w:t>
      </w:r>
      <w:r w:rsidR="0043465E">
        <w:rPr>
          <w:rFonts w:ascii="Arial" w:hAnsi="Arial" w:cs="Arial"/>
          <w:bCs/>
          <w:sz w:val="20"/>
          <w:szCs w:val="20"/>
        </w:rPr>
        <w:t>; (</w:t>
      </w:r>
      <w:proofErr w:type="spellStart"/>
      <w:r w:rsidR="0043465E">
        <w:rPr>
          <w:rFonts w:ascii="Arial" w:hAnsi="Arial" w:cs="Arial"/>
          <w:bCs/>
          <w:sz w:val="20"/>
          <w:szCs w:val="20"/>
        </w:rPr>
        <w:t>iii</w:t>
      </w:r>
      <w:proofErr w:type="spellEnd"/>
      <w:r w:rsidR="0043465E">
        <w:rPr>
          <w:rFonts w:ascii="Arial" w:hAnsi="Arial" w:cs="Arial"/>
          <w:bCs/>
          <w:sz w:val="20"/>
          <w:szCs w:val="20"/>
        </w:rPr>
        <w:t>)</w:t>
      </w:r>
      <w:r w:rsidR="00C53080" w:rsidRPr="00C53080">
        <w:rPr>
          <w:rFonts w:ascii="Arial" w:hAnsi="Arial" w:cs="Arial"/>
          <w:bCs/>
          <w:sz w:val="20"/>
          <w:szCs w:val="20"/>
        </w:rPr>
        <w:t xml:space="preserve"> subsidio económico por concepto favorable de rehabilitación y gastos asociados al siniestro tales como traslado de pacientes</w:t>
      </w:r>
      <w:r w:rsidR="005A7D67">
        <w:rPr>
          <w:rFonts w:ascii="Arial" w:hAnsi="Arial" w:cs="Arial"/>
          <w:bCs/>
          <w:sz w:val="20"/>
          <w:szCs w:val="20"/>
        </w:rPr>
        <w:t>; (</w:t>
      </w:r>
      <w:proofErr w:type="spellStart"/>
      <w:r w:rsidR="005A7D67">
        <w:rPr>
          <w:rFonts w:ascii="Arial" w:hAnsi="Arial" w:cs="Arial"/>
          <w:bCs/>
          <w:sz w:val="20"/>
          <w:szCs w:val="20"/>
        </w:rPr>
        <w:t>iv</w:t>
      </w:r>
      <w:proofErr w:type="spellEnd"/>
      <w:r w:rsidR="005A7D67">
        <w:rPr>
          <w:rFonts w:ascii="Arial" w:hAnsi="Arial" w:cs="Arial"/>
          <w:bCs/>
          <w:sz w:val="20"/>
          <w:szCs w:val="20"/>
        </w:rPr>
        <w:t>)</w:t>
      </w:r>
      <w:r w:rsidR="00C53080" w:rsidRPr="00C53080">
        <w:rPr>
          <w:rFonts w:ascii="Arial" w:hAnsi="Arial" w:cs="Arial"/>
          <w:bCs/>
          <w:sz w:val="20"/>
          <w:szCs w:val="20"/>
        </w:rPr>
        <w:t xml:space="preserve"> valoración por especialista</w:t>
      </w:r>
      <w:r w:rsidR="00A24619">
        <w:rPr>
          <w:rFonts w:ascii="Arial" w:hAnsi="Arial" w:cs="Arial"/>
          <w:bCs/>
          <w:sz w:val="20"/>
          <w:szCs w:val="20"/>
        </w:rPr>
        <w:t>s; (v)</w:t>
      </w:r>
      <w:r w:rsidR="00C53080" w:rsidRPr="00C53080">
        <w:rPr>
          <w:rFonts w:ascii="Arial" w:hAnsi="Arial" w:cs="Arial"/>
          <w:bCs/>
          <w:sz w:val="20"/>
          <w:szCs w:val="20"/>
        </w:rPr>
        <w:t xml:space="preserve"> exámenes complementarios y </w:t>
      </w:r>
      <w:r w:rsidR="00A24619">
        <w:rPr>
          <w:rFonts w:ascii="Arial" w:hAnsi="Arial" w:cs="Arial"/>
          <w:bCs/>
          <w:sz w:val="20"/>
          <w:szCs w:val="20"/>
        </w:rPr>
        <w:t xml:space="preserve">(vi) </w:t>
      </w:r>
      <w:r w:rsidR="00C53080" w:rsidRPr="00C53080">
        <w:rPr>
          <w:rFonts w:ascii="Arial" w:hAnsi="Arial" w:cs="Arial"/>
          <w:bCs/>
          <w:sz w:val="20"/>
          <w:szCs w:val="20"/>
        </w:rPr>
        <w:t>honorarios de juntas de calificación.</w:t>
      </w:r>
    </w:p>
    <w:p w14:paraId="675DC1FF" w14:textId="77777777" w:rsidR="00B75F53" w:rsidRDefault="00B75F53" w:rsidP="001913C3">
      <w:pPr>
        <w:jc w:val="both"/>
        <w:rPr>
          <w:rFonts w:ascii="Arial" w:hAnsi="Arial" w:cs="Arial"/>
          <w:bCs/>
          <w:sz w:val="20"/>
          <w:szCs w:val="20"/>
        </w:rPr>
      </w:pPr>
    </w:p>
    <w:p w14:paraId="7C862ADD" w14:textId="62E37D82" w:rsidR="006E2809" w:rsidRPr="00626872" w:rsidRDefault="006E2809" w:rsidP="00BE2CFC">
      <w:pPr>
        <w:pStyle w:val="Prrafodelista"/>
        <w:numPr>
          <w:ilvl w:val="3"/>
          <w:numId w:val="7"/>
        </w:numPr>
        <w:ind w:left="851" w:hanging="851"/>
        <w:jc w:val="both"/>
        <w:rPr>
          <w:rFonts w:ascii="Arial" w:hAnsi="Arial" w:cs="Arial"/>
          <w:b/>
          <w:sz w:val="20"/>
          <w:szCs w:val="20"/>
          <w:lang w:val="es-CO"/>
        </w:rPr>
      </w:pPr>
      <w:r w:rsidRPr="00626872">
        <w:rPr>
          <w:rFonts w:ascii="Arial" w:hAnsi="Arial" w:cs="Arial"/>
          <w:b/>
          <w:sz w:val="20"/>
          <w:szCs w:val="20"/>
          <w:lang w:val="es-CO"/>
        </w:rPr>
        <w:t xml:space="preserve">Reglas especiales para </w:t>
      </w:r>
      <w:r w:rsidR="004C06C8">
        <w:rPr>
          <w:rFonts w:ascii="Arial" w:hAnsi="Arial" w:cs="Arial"/>
          <w:b/>
          <w:sz w:val="20"/>
          <w:szCs w:val="20"/>
          <w:lang w:val="es-CO"/>
        </w:rPr>
        <w:t xml:space="preserve">la reserva del </w:t>
      </w:r>
      <w:r w:rsidRPr="00626872">
        <w:rPr>
          <w:rFonts w:ascii="Arial" w:hAnsi="Arial" w:cs="Arial"/>
          <w:b/>
          <w:sz w:val="20"/>
          <w:szCs w:val="20"/>
          <w:lang w:val="es-CO"/>
        </w:rPr>
        <w:t>seguro de riesgos laborales</w:t>
      </w:r>
    </w:p>
    <w:p w14:paraId="42275699" w14:textId="77777777" w:rsidR="006E2809" w:rsidRDefault="006E2809" w:rsidP="006E2809">
      <w:pPr>
        <w:jc w:val="both"/>
        <w:rPr>
          <w:rFonts w:ascii="Arial" w:hAnsi="Arial" w:cs="Arial"/>
          <w:bCs/>
          <w:sz w:val="20"/>
          <w:szCs w:val="20"/>
          <w:lang w:val="es-CO"/>
        </w:rPr>
      </w:pPr>
    </w:p>
    <w:p w14:paraId="2D31F822" w14:textId="5605EEAE" w:rsidR="00C139A7" w:rsidRDefault="00F925CE" w:rsidP="00C139A7">
      <w:pPr>
        <w:jc w:val="both"/>
        <w:rPr>
          <w:rFonts w:ascii="Arial" w:hAnsi="Arial" w:cs="Arial"/>
          <w:bCs/>
          <w:sz w:val="20"/>
          <w:szCs w:val="20"/>
        </w:rPr>
      </w:pPr>
      <w:r>
        <w:rPr>
          <w:rFonts w:ascii="Arial" w:hAnsi="Arial" w:cs="Arial"/>
          <w:bCs/>
          <w:sz w:val="20"/>
          <w:szCs w:val="20"/>
        </w:rPr>
        <w:t xml:space="preserve">De acuerdo con los lineamientos especiales y las facultades señaladas en el artículo </w:t>
      </w:r>
      <w:r w:rsidRPr="00A710FF">
        <w:rPr>
          <w:rFonts w:ascii="Arial" w:hAnsi="Arial" w:cs="Arial"/>
          <w:bCs/>
          <w:sz w:val="20"/>
          <w:szCs w:val="20"/>
        </w:rPr>
        <w:t>2.31.4.4.</w:t>
      </w:r>
      <w:r w:rsidR="00A96665">
        <w:rPr>
          <w:rFonts w:ascii="Arial" w:hAnsi="Arial" w:cs="Arial"/>
          <w:bCs/>
          <w:sz w:val="20"/>
          <w:szCs w:val="20"/>
        </w:rPr>
        <w:t>4</w:t>
      </w:r>
      <w:r w:rsidRPr="00A710FF">
        <w:rPr>
          <w:rFonts w:ascii="Arial" w:hAnsi="Arial" w:cs="Arial"/>
          <w:bCs/>
          <w:sz w:val="20"/>
          <w:szCs w:val="20"/>
        </w:rPr>
        <w:t>.</w:t>
      </w:r>
      <w:r>
        <w:rPr>
          <w:rFonts w:ascii="Arial" w:hAnsi="Arial" w:cs="Arial"/>
          <w:bCs/>
          <w:sz w:val="20"/>
          <w:szCs w:val="20"/>
        </w:rPr>
        <w:t xml:space="preserve"> del Decreto 2555 de 2010, </w:t>
      </w:r>
      <w:r w:rsidR="006C265A">
        <w:rPr>
          <w:rFonts w:ascii="Arial" w:hAnsi="Arial" w:cs="Arial"/>
          <w:bCs/>
          <w:sz w:val="20"/>
          <w:szCs w:val="20"/>
        </w:rPr>
        <w:t>e</w:t>
      </w:r>
      <w:r w:rsidR="0061305F">
        <w:rPr>
          <w:rFonts w:ascii="Arial" w:hAnsi="Arial" w:cs="Arial"/>
          <w:bCs/>
          <w:sz w:val="20"/>
          <w:szCs w:val="20"/>
        </w:rPr>
        <w:t xml:space="preserve">n el caso de </w:t>
      </w:r>
      <w:r w:rsidR="006E2809">
        <w:rPr>
          <w:rFonts w:ascii="Arial" w:hAnsi="Arial" w:cs="Arial"/>
          <w:bCs/>
          <w:sz w:val="20"/>
          <w:szCs w:val="20"/>
        </w:rPr>
        <w:t xml:space="preserve">la reserva </w:t>
      </w:r>
      <w:r w:rsidR="006E2809" w:rsidRPr="00BD2B04">
        <w:rPr>
          <w:rFonts w:ascii="Arial" w:hAnsi="Arial" w:cs="Arial"/>
          <w:bCs/>
          <w:sz w:val="20"/>
          <w:szCs w:val="20"/>
        </w:rPr>
        <w:t>de siniestros avisados del ramo de seguro de riesgos laborales</w:t>
      </w:r>
      <w:r w:rsidR="00FB17C9">
        <w:rPr>
          <w:rFonts w:ascii="Arial" w:hAnsi="Arial" w:cs="Arial"/>
          <w:bCs/>
          <w:sz w:val="20"/>
          <w:szCs w:val="20"/>
        </w:rPr>
        <w:t>, las entidades</w:t>
      </w:r>
      <w:r w:rsidR="00C139A7">
        <w:rPr>
          <w:rFonts w:ascii="Arial" w:hAnsi="Arial" w:cs="Arial"/>
          <w:bCs/>
          <w:sz w:val="20"/>
          <w:szCs w:val="20"/>
        </w:rPr>
        <w:t xml:space="preserve"> </w:t>
      </w:r>
      <w:r w:rsidR="00C139A7" w:rsidRPr="00C53080">
        <w:rPr>
          <w:rFonts w:ascii="Arial" w:hAnsi="Arial" w:cs="Arial"/>
          <w:bCs/>
          <w:sz w:val="20"/>
          <w:szCs w:val="20"/>
        </w:rPr>
        <w:t xml:space="preserve">deben constituir la reserva de siniestros avisados </w:t>
      </w:r>
      <w:r w:rsidR="00C139A7">
        <w:rPr>
          <w:rFonts w:ascii="Arial" w:hAnsi="Arial" w:cs="Arial"/>
          <w:bCs/>
          <w:sz w:val="20"/>
          <w:szCs w:val="20"/>
        </w:rPr>
        <w:t xml:space="preserve">a partir de la metodología establecida en el </w:t>
      </w:r>
      <w:r w:rsidR="00C139A7" w:rsidRPr="00454CCC">
        <w:rPr>
          <w:rFonts w:ascii="Arial" w:hAnsi="Arial" w:cs="Arial"/>
          <w:bCs/>
          <w:sz w:val="20"/>
          <w:szCs w:val="20"/>
        </w:rPr>
        <w:t xml:space="preserve">anexo </w:t>
      </w:r>
      <w:r w:rsidR="00C139A7">
        <w:rPr>
          <w:rFonts w:ascii="Arial" w:hAnsi="Arial" w:cs="Arial"/>
          <w:bCs/>
          <w:sz w:val="20"/>
          <w:szCs w:val="20"/>
        </w:rPr>
        <w:t>8</w:t>
      </w:r>
      <w:r w:rsidR="00C139A7" w:rsidRPr="00454CCC">
        <w:rPr>
          <w:rFonts w:ascii="Arial" w:hAnsi="Arial" w:cs="Arial"/>
          <w:bCs/>
          <w:sz w:val="20"/>
          <w:szCs w:val="20"/>
        </w:rPr>
        <w:t xml:space="preserve"> del presente</w:t>
      </w:r>
      <w:r w:rsidR="00C139A7">
        <w:rPr>
          <w:rFonts w:ascii="Arial" w:hAnsi="Arial" w:cs="Arial"/>
          <w:bCs/>
          <w:sz w:val="20"/>
          <w:szCs w:val="20"/>
        </w:rPr>
        <w:t xml:space="preserve"> capítulo.</w:t>
      </w:r>
    </w:p>
    <w:p w14:paraId="6AF2DE52" w14:textId="77777777" w:rsidR="006E2809" w:rsidRPr="00BD2B04" w:rsidRDefault="006E2809" w:rsidP="006E2809">
      <w:pPr>
        <w:jc w:val="both"/>
        <w:rPr>
          <w:rFonts w:ascii="Arial" w:hAnsi="Arial" w:cs="Arial"/>
          <w:bCs/>
          <w:sz w:val="20"/>
          <w:szCs w:val="20"/>
        </w:rPr>
      </w:pPr>
    </w:p>
    <w:p w14:paraId="0247D552" w14:textId="68FEAD65" w:rsidR="006E2809" w:rsidRDefault="006E2809" w:rsidP="006E2809">
      <w:pPr>
        <w:jc w:val="both"/>
        <w:rPr>
          <w:rFonts w:ascii="Arial" w:hAnsi="Arial" w:cs="Arial"/>
          <w:bCs/>
          <w:sz w:val="20"/>
          <w:szCs w:val="20"/>
        </w:rPr>
      </w:pPr>
      <w:r>
        <w:rPr>
          <w:rFonts w:ascii="Arial" w:hAnsi="Arial" w:cs="Arial"/>
          <w:bCs/>
          <w:sz w:val="20"/>
          <w:szCs w:val="20"/>
        </w:rPr>
        <w:t xml:space="preserve">En todo caso, </w:t>
      </w:r>
      <w:r w:rsidR="00737720">
        <w:rPr>
          <w:rFonts w:ascii="Arial" w:hAnsi="Arial" w:cs="Arial"/>
          <w:bCs/>
          <w:sz w:val="20"/>
          <w:szCs w:val="20"/>
        </w:rPr>
        <w:t xml:space="preserve">en línea con lo señalado en el anexo 8 del presente capítulo, </w:t>
      </w:r>
      <w:r>
        <w:rPr>
          <w:rFonts w:ascii="Arial" w:hAnsi="Arial" w:cs="Arial"/>
          <w:bCs/>
          <w:sz w:val="20"/>
          <w:szCs w:val="20"/>
        </w:rPr>
        <w:t>p</w:t>
      </w:r>
      <w:r w:rsidRPr="00BD2B04">
        <w:rPr>
          <w:rFonts w:ascii="Arial" w:hAnsi="Arial" w:cs="Arial"/>
          <w:bCs/>
          <w:sz w:val="20"/>
          <w:szCs w:val="20"/>
        </w:rPr>
        <w:t xml:space="preserve">or cada siniestro se deben agregar las reservas técnicas constituidas para las siguientes prestaciones y gastos: </w:t>
      </w:r>
      <w:r>
        <w:rPr>
          <w:rFonts w:ascii="Arial" w:hAnsi="Arial" w:cs="Arial"/>
          <w:bCs/>
          <w:sz w:val="20"/>
          <w:szCs w:val="20"/>
        </w:rPr>
        <w:t xml:space="preserve">(i) </w:t>
      </w:r>
      <w:r w:rsidRPr="00BD2B04">
        <w:rPr>
          <w:rFonts w:ascii="Arial" w:hAnsi="Arial" w:cs="Arial"/>
          <w:bCs/>
          <w:sz w:val="20"/>
          <w:szCs w:val="20"/>
        </w:rPr>
        <w:t>prestaciones asistenciales (incluyendo, cuando sea del caso, siniestros avisados asistenciales crónicos y siniestros avisados asistenciales vitalicios)</w:t>
      </w:r>
      <w:r>
        <w:rPr>
          <w:rFonts w:ascii="Arial" w:hAnsi="Arial" w:cs="Arial"/>
          <w:bCs/>
          <w:sz w:val="20"/>
          <w:szCs w:val="20"/>
        </w:rPr>
        <w:t>; (</w:t>
      </w:r>
      <w:proofErr w:type="spellStart"/>
      <w:r>
        <w:rPr>
          <w:rFonts w:ascii="Arial" w:hAnsi="Arial" w:cs="Arial"/>
          <w:bCs/>
          <w:sz w:val="20"/>
          <w:szCs w:val="20"/>
        </w:rPr>
        <w:t>ii</w:t>
      </w:r>
      <w:proofErr w:type="spellEnd"/>
      <w:r>
        <w:rPr>
          <w:rFonts w:ascii="Arial" w:hAnsi="Arial" w:cs="Arial"/>
          <w:bCs/>
          <w:sz w:val="20"/>
          <w:szCs w:val="20"/>
        </w:rPr>
        <w:t xml:space="preserve">) </w:t>
      </w:r>
      <w:r w:rsidRPr="00BD2B04">
        <w:rPr>
          <w:rFonts w:ascii="Arial" w:hAnsi="Arial" w:cs="Arial"/>
          <w:bCs/>
          <w:sz w:val="20"/>
          <w:szCs w:val="20"/>
        </w:rPr>
        <w:t>incapacidad temporal</w:t>
      </w:r>
      <w:r>
        <w:rPr>
          <w:rFonts w:ascii="Arial" w:hAnsi="Arial" w:cs="Arial"/>
          <w:bCs/>
          <w:sz w:val="20"/>
          <w:szCs w:val="20"/>
        </w:rPr>
        <w:t>; (</w:t>
      </w:r>
      <w:proofErr w:type="spellStart"/>
      <w:r>
        <w:rPr>
          <w:rFonts w:ascii="Arial" w:hAnsi="Arial" w:cs="Arial"/>
          <w:bCs/>
          <w:sz w:val="20"/>
          <w:szCs w:val="20"/>
        </w:rPr>
        <w:t>iii</w:t>
      </w:r>
      <w:proofErr w:type="spellEnd"/>
      <w:r>
        <w:rPr>
          <w:rFonts w:ascii="Arial" w:hAnsi="Arial" w:cs="Arial"/>
          <w:bCs/>
          <w:sz w:val="20"/>
          <w:szCs w:val="20"/>
        </w:rPr>
        <w:t>)</w:t>
      </w:r>
      <w:r w:rsidRPr="00BD2B04">
        <w:rPr>
          <w:rFonts w:ascii="Arial" w:hAnsi="Arial" w:cs="Arial"/>
          <w:bCs/>
          <w:sz w:val="20"/>
          <w:szCs w:val="20"/>
        </w:rPr>
        <w:t xml:space="preserve"> incapacidad permanente parcial</w:t>
      </w:r>
      <w:r>
        <w:rPr>
          <w:rFonts w:ascii="Arial" w:hAnsi="Arial" w:cs="Arial"/>
          <w:bCs/>
          <w:sz w:val="20"/>
          <w:szCs w:val="20"/>
        </w:rPr>
        <w:t>; (</w:t>
      </w:r>
      <w:proofErr w:type="spellStart"/>
      <w:r>
        <w:rPr>
          <w:rFonts w:ascii="Arial" w:hAnsi="Arial" w:cs="Arial"/>
          <w:bCs/>
          <w:sz w:val="20"/>
          <w:szCs w:val="20"/>
        </w:rPr>
        <w:t>iv</w:t>
      </w:r>
      <w:proofErr w:type="spellEnd"/>
      <w:r>
        <w:rPr>
          <w:rFonts w:ascii="Arial" w:hAnsi="Arial" w:cs="Arial"/>
          <w:bCs/>
          <w:sz w:val="20"/>
          <w:szCs w:val="20"/>
        </w:rPr>
        <w:t>)</w:t>
      </w:r>
      <w:r w:rsidRPr="00BD2B04">
        <w:rPr>
          <w:rFonts w:ascii="Arial" w:hAnsi="Arial" w:cs="Arial"/>
          <w:bCs/>
          <w:sz w:val="20"/>
          <w:szCs w:val="20"/>
        </w:rPr>
        <w:t xml:space="preserve"> pensión de invalidez</w:t>
      </w:r>
      <w:r>
        <w:rPr>
          <w:rFonts w:ascii="Arial" w:hAnsi="Arial" w:cs="Arial"/>
          <w:bCs/>
          <w:sz w:val="20"/>
          <w:szCs w:val="20"/>
        </w:rPr>
        <w:t>; (v)</w:t>
      </w:r>
      <w:r w:rsidRPr="00BD2B04">
        <w:rPr>
          <w:rFonts w:ascii="Arial" w:hAnsi="Arial" w:cs="Arial"/>
          <w:bCs/>
          <w:sz w:val="20"/>
          <w:szCs w:val="20"/>
        </w:rPr>
        <w:t xml:space="preserve"> pensión de sobrevivencia</w:t>
      </w:r>
      <w:r>
        <w:rPr>
          <w:rFonts w:ascii="Arial" w:hAnsi="Arial" w:cs="Arial"/>
          <w:bCs/>
          <w:sz w:val="20"/>
          <w:szCs w:val="20"/>
        </w:rPr>
        <w:t>; (v</w:t>
      </w:r>
      <w:r w:rsidR="000A0CCF">
        <w:rPr>
          <w:rFonts w:ascii="Arial" w:hAnsi="Arial" w:cs="Arial"/>
          <w:bCs/>
          <w:sz w:val="20"/>
          <w:szCs w:val="20"/>
        </w:rPr>
        <w:t>i</w:t>
      </w:r>
      <w:r>
        <w:rPr>
          <w:rFonts w:ascii="Arial" w:hAnsi="Arial" w:cs="Arial"/>
          <w:bCs/>
          <w:sz w:val="20"/>
          <w:szCs w:val="20"/>
        </w:rPr>
        <w:t>)</w:t>
      </w:r>
      <w:r w:rsidRPr="00BD2B04">
        <w:rPr>
          <w:rFonts w:ascii="Arial" w:hAnsi="Arial" w:cs="Arial"/>
          <w:bCs/>
          <w:sz w:val="20"/>
          <w:szCs w:val="20"/>
        </w:rPr>
        <w:t xml:space="preserve"> auxilio funerario</w:t>
      </w:r>
      <w:r>
        <w:rPr>
          <w:rFonts w:ascii="Arial" w:hAnsi="Arial" w:cs="Arial"/>
          <w:bCs/>
          <w:sz w:val="20"/>
          <w:szCs w:val="20"/>
        </w:rPr>
        <w:t xml:space="preserve">; </w:t>
      </w:r>
      <w:r w:rsidR="00FA2DFD">
        <w:rPr>
          <w:rFonts w:ascii="Arial" w:hAnsi="Arial" w:cs="Arial"/>
          <w:bCs/>
          <w:sz w:val="20"/>
          <w:szCs w:val="20"/>
        </w:rPr>
        <w:t xml:space="preserve">y </w:t>
      </w:r>
      <w:r>
        <w:rPr>
          <w:rFonts w:ascii="Arial" w:hAnsi="Arial" w:cs="Arial"/>
          <w:bCs/>
          <w:sz w:val="20"/>
          <w:szCs w:val="20"/>
        </w:rPr>
        <w:t>(</w:t>
      </w:r>
      <w:proofErr w:type="spellStart"/>
      <w:r>
        <w:rPr>
          <w:rFonts w:ascii="Arial" w:hAnsi="Arial" w:cs="Arial"/>
          <w:bCs/>
          <w:sz w:val="20"/>
          <w:szCs w:val="20"/>
        </w:rPr>
        <w:t>v</w:t>
      </w:r>
      <w:r w:rsidR="000A0CCF">
        <w:rPr>
          <w:rFonts w:ascii="Arial" w:hAnsi="Arial" w:cs="Arial"/>
          <w:bCs/>
          <w:sz w:val="20"/>
          <w:szCs w:val="20"/>
        </w:rPr>
        <w:t>i</w:t>
      </w:r>
      <w:r>
        <w:rPr>
          <w:rFonts w:ascii="Arial" w:hAnsi="Arial" w:cs="Arial"/>
          <w:bCs/>
          <w:sz w:val="20"/>
          <w:szCs w:val="20"/>
        </w:rPr>
        <w:t>i</w:t>
      </w:r>
      <w:proofErr w:type="spellEnd"/>
      <w:r>
        <w:rPr>
          <w:rFonts w:ascii="Arial" w:hAnsi="Arial" w:cs="Arial"/>
          <w:bCs/>
          <w:sz w:val="20"/>
          <w:szCs w:val="20"/>
        </w:rPr>
        <w:t>)</w:t>
      </w:r>
      <w:r w:rsidRPr="00BD2B04">
        <w:rPr>
          <w:rFonts w:ascii="Arial" w:hAnsi="Arial" w:cs="Arial"/>
          <w:bCs/>
          <w:sz w:val="20"/>
          <w:szCs w:val="20"/>
        </w:rPr>
        <w:t xml:space="preserve"> honorarios de abogados y gastos asociados al siniestro, directos e indirectos.</w:t>
      </w:r>
    </w:p>
    <w:p w14:paraId="0BC960F1" w14:textId="77777777" w:rsidR="00135E9A" w:rsidRDefault="00135E9A" w:rsidP="001913C3">
      <w:pPr>
        <w:jc w:val="both"/>
        <w:rPr>
          <w:rFonts w:ascii="Arial" w:hAnsi="Arial" w:cs="Arial"/>
          <w:bCs/>
          <w:sz w:val="20"/>
          <w:szCs w:val="20"/>
        </w:rPr>
      </w:pPr>
    </w:p>
    <w:p w14:paraId="508F338E" w14:textId="3FC7E0AC" w:rsidR="00E230DB" w:rsidRDefault="006E2809" w:rsidP="000A0CCF">
      <w:pPr>
        <w:jc w:val="both"/>
        <w:rPr>
          <w:rFonts w:ascii="Arial" w:hAnsi="Arial" w:cs="Arial"/>
          <w:bCs/>
          <w:sz w:val="20"/>
          <w:szCs w:val="20"/>
        </w:rPr>
      </w:pPr>
      <w:r>
        <w:rPr>
          <w:rFonts w:ascii="Arial" w:hAnsi="Arial" w:cs="Arial"/>
          <w:bCs/>
          <w:sz w:val="20"/>
          <w:szCs w:val="20"/>
        </w:rPr>
        <w:t>Para efectos de este ramo, l</w:t>
      </w:r>
      <w:r w:rsidRPr="00BD2B04">
        <w:rPr>
          <w:rFonts w:ascii="Arial" w:hAnsi="Arial" w:cs="Arial"/>
          <w:bCs/>
          <w:sz w:val="20"/>
          <w:szCs w:val="20"/>
        </w:rPr>
        <w:t>os gastos directos asociados al siniestro son aquéllos que se encuentran relacionados de manera específica con un siniestro.</w:t>
      </w:r>
      <w:r>
        <w:rPr>
          <w:rFonts w:ascii="Arial" w:hAnsi="Arial" w:cs="Arial"/>
          <w:bCs/>
          <w:sz w:val="20"/>
          <w:szCs w:val="20"/>
        </w:rPr>
        <w:t xml:space="preserve"> L</w:t>
      </w:r>
      <w:r w:rsidRPr="00BD2B04">
        <w:rPr>
          <w:rFonts w:ascii="Arial" w:hAnsi="Arial" w:cs="Arial"/>
          <w:bCs/>
          <w:sz w:val="20"/>
          <w:szCs w:val="20"/>
        </w:rPr>
        <w:t xml:space="preserve">os gastos indirectos asociados al siniestro son aquellos en que </w:t>
      </w:r>
      <w:r w:rsidR="00193780">
        <w:rPr>
          <w:rFonts w:ascii="Arial" w:hAnsi="Arial" w:cs="Arial"/>
          <w:bCs/>
          <w:sz w:val="20"/>
          <w:szCs w:val="20"/>
        </w:rPr>
        <w:t xml:space="preserve">la entidad </w:t>
      </w:r>
      <w:r w:rsidRPr="00BD2B04">
        <w:rPr>
          <w:rFonts w:ascii="Arial" w:hAnsi="Arial" w:cs="Arial"/>
          <w:bCs/>
          <w:sz w:val="20"/>
          <w:szCs w:val="20"/>
        </w:rPr>
        <w:t>incurre para la atención de los siniestros</w:t>
      </w:r>
      <w:r>
        <w:rPr>
          <w:rFonts w:ascii="Arial" w:hAnsi="Arial" w:cs="Arial"/>
          <w:bCs/>
          <w:sz w:val="20"/>
          <w:szCs w:val="20"/>
        </w:rPr>
        <w:t>,</w:t>
      </w:r>
      <w:r w:rsidRPr="00BD2B04">
        <w:rPr>
          <w:rFonts w:ascii="Arial" w:hAnsi="Arial" w:cs="Arial"/>
          <w:bCs/>
          <w:sz w:val="20"/>
          <w:szCs w:val="20"/>
        </w:rPr>
        <w:t xml:space="preserve"> pero que no pueden ser asociados a uno solo de </w:t>
      </w:r>
      <w:r>
        <w:rPr>
          <w:rFonts w:ascii="Arial" w:hAnsi="Arial" w:cs="Arial"/>
          <w:bCs/>
          <w:sz w:val="20"/>
          <w:szCs w:val="20"/>
        </w:rPr>
        <w:t>los siniestros.</w:t>
      </w:r>
    </w:p>
    <w:p w14:paraId="26A7EF43" w14:textId="77777777" w:rsidR="00983500" w:rsidRDefault="00983500" w:rsidP="000A0CCF">
      <w:pPr>
        <w:tabs>
          <w:tab w:val="left" w:pos="1985"/>
        </w:tabs>
        <w:jc w:val="both"/>
        <w:rPr>
          <w:rFonts w:ascii="Arial" w:hAnsi="Arial" w:cs="Arial"/>
          <w:bCs/>
          <w:sz w:val="20"/>
          <w:szCs w:val="20"/>
        </w:rPr>
      </w:pPr>
    </w:p>
    <w:p w14:paraId="20B9B145" w14:textId="450EA069" w:rsidR="00E230DB" w:rsidRPr="00626872" w:rsidRDefault="00E230DB" w:rsidP="00BE2CFC">
      <w:pPr>
        <w:pStyle w:val="Prrafodelista"/>
        <w:numPr>
          <w:ilvl w:val="3"/>
          <w:numId w:val="7"/>
        </w:numPr>
        <w:ind w:left="851" w:hanging="851"/>
        <w:jc w:val="both"/>
        <w:rPr>
          <w:rFonts w:ascii="Arial" w:hAnsi="Arial" w:cs="Arial"/>
          <w:b/>
          <w:sz w:val="20"/>
          <w:szCs w:val="20"/>
          <w:lang w:val="es-CO"/>
        </w:rPr>
      </w:pPr>
      <w:r>
        <w:rPr>
          <w:rFonts w:ascii="Arial" w:hAnsi="Arial" w:cs="Arial"/>
          <w:b/>
          <w:sz w:val="20"/>
          <w:szCs w:val="20"/>
          <w:lang w:val="es-CO"/>
        </w:rPr>
        <w:t>Clasificación de siniestros</w:t>
      </w:r>
    </w:p>
    <w:p w14:paraId="0ED26003" w14:textId="77777777" w:rsidR="00E230DB" w:rsidRDefault="00E230DB" w:rsidP="00E230DB">
      <w:pPr>
        <w:jc w:val="both"/>
        <w:rPr>
          <w:rFonts w:ascii="Arial" w:hAnsi="Arial" w:cs="Arial"/>
          <w:bCs/>
          <w:sz w:val="20"/>
          <w:szCs w:val="20"/>
          <w:lang w:val="es-CO"/>
        </w:rPr>
      </w:pPr>
    </w:p>
    <w:p w14:paraId="6725C176" w14:textId="470FDA73" w:rsidR="00A60220" w:rsidRPr="00A60220" w:rsidRDefault="007304CB" w:rsidP="00A60220">
      <w:pPr>
        <w:jc w:val="both"/>
        <w:rPr>
          <w:rFonts w:ascii="Arial" w:hAnsi="Arial" w:cs="Arial"/>
          <w:bCs/>
          <w:sz w:val="20"/>
          <w:szCs w:val="20"/>
        </w:rPr>
      </w:pPr>
      <w:r>
        <w:rPr>
          <w:rFonts w:ascii="Arial" w:hAnsi="Arial" w:cs="Arial"/>
          <w:bCs/>
          <w:sz w:val="20"/>
          <w:szCs w:val="20"/>
        </w:rPr>
        <w:t>Para efectos del seguimient</w:t>
      </w:r>
      <w:r w:rsidR="008D3A2B">
        <w:rPr>
          <w:rFonts w:ascii="Arial" w:hAnsi="Arial" w:cs="Arial"/>
          <w:bCs/>
          <w:sz w:val="20"/>
          <w:szCs w:val="20"/>
        </w:rPr>
        <w:t>o a la reserva de siniestros avisados,</w:t>
      </w:r>
      <w:r>
        <w:rPr>
          <w:rFonts w:ascii="Arial" w:hAnsi="Arial" w:cs="Arial"/>
          <w:bCs/>
          <w:sz w:val="20"/>
          <w:szCs w:val="20"/>
        </w:rPr>
        <w:t xml:space="preserve"> </w:t>
      </w:r>
      <w:r w:rsidR="00A60220" w:rsidRPr="00A60220">
        <w:rPr>
          <w:rFonts w:ascii="Arial" w:hAnsi="Arial" w:cs="Arial"/>
          <w:bCs/>
          <w:sz w:val="20"/>
          <w:szCs w:val="20"/>
        </w:rPr>
        <w:t>las entidades aseguradoras deben clasificar internamente cada siniestro en una de las siguientes categorías:</w:t>
      </w:r>
    </w:p>
    <w:p w14:paraId="2E7BAD33" w14:textId="77777777" w:rsidR="00A60220" w:rsidRPr="00A60220" w:rsidRDefault="00A60220" w:rsidP="00A60220">
      <w:pPr>
        <w:jc w:val="both"/>
        <w:rPr>
          <w:rFonts w:ascii="Arial" w:hAnsi="Arial" w:cs="Arial"/>
          <w:bCs/>
          <w:sz w:val="20"/>
          <w:szCs w:val="20"/>
        </w:rPr>
      </w:pPr>
    </w:p>
    <w:p w14:paraId="7EE09A55" w14:textId="6204E363" w:rsidR="00374DB9" w:rsidRDefault="00A60220" w:rsidP="00BE2CFC">
      <w:pPr>
        <w:pStyle w:val="Prrafodelista"/>
        <w:numPr>
          <w:ilvl w:val="0"/>
          <w:numId w:val="8"/>
        </w:numPr>
        <w:ind w:left="567" w:hanging="567"/>
        <w:jc w:val="both"/>
        <w:rPr>
          <w:rFonts w:ascii="Arial" w:hAnsi="Arial" w:cs="Arial"/>
          <w:bCs/>
          <w:sz w:val="20"/>
          <w:szCs w:val="20"/>
        </w:rPr>
      </w:pPr>
      <w:r w:rsidRPr="00374DB9">
        <w:rPr>
          <w:rFonts w:ascii="Arial" w:hAnsi="Arial" w:cs="Arial"/>
          <w:bCs/>
          <w:sz w:val="20"/>
          <w:szCs w:val="20"/>
        </w:rPr>
        <w:t xml:space="preserve">Siniestros liquidados pendientes de pago: corresponde a aquellos siniestros que han sido liquidados de manera definitiva y que </w:t>
      </w:r>
      <w:r w:rsidR="00886329">
        <w:rPr>
          <w:rFonts w:ascii="Arial" w:hAnsi="Arial" w:cs="Arial"/>
          <w:bCs/>
          <w:sz w:val="20"/>
          <w:szCs w:val="20"/>
        </w:rPr>
        <w:t>en</w:t>
      </w:r>
      <w:r w:rsidRPr="00374DB9">
        <w:rPr>
          <w:rFonts w:ascii="Arial" w:hAnsi="Arial" w:cs="Arial"/>
          <w:bCs/>
          <w:sz w:val="20"/>
          <w:szCs w:val="20"/>
        </w:rPr>
        <w:t xml:space="preserve"> la fecha de reporte de la información financiera no han sido pagados al beneficiario. </w:t>
      </w:r>
    </w:p>
    <w:p w14:paraId="18608E63" w14:textId="77777777" w:rsidR="00374DB9" w:rsidRDefault="00374DB9" w:rsidP="00374DB9">
      <w:pPr>
        <w:pStyle w:val="Prrafodelista"/>
        <w:ind w:left="567"/>
        <w:jc w:val="both"/>
        <w:rPr>
          <w:rFonts w:ascii="Arial" w:hAnsi="Arial" w:cs="Arial"/>
          <w:bCs/>
          <w:sz w:val="20"/>
          <w:szCs w:val="20"/>
        </w:rPr>
      </w:pPr>
    </w:p>
    <w:p w14:paraId="320B346A" w14:textId="6C3863E6" w:rsidR="00A60220" w:rsidRPr="00374DB9" w:rsidRDefault="00A60220" w:rsidP="00374DB9">
      <w:pPr>
        <w:pStyle w:val="Prrafodelista"/>
        <w:ind w:left="567"/>
        <w:jc w:val="both"/>
        <w:rPr>
          <w:rFonts w:ascii="Arial" w:hAnsi="Arial" w:cs="Arial"/>
          <w:bCs/>
          <w:sz w:val="20"/>
          <w:szCs w:val="20"/>
        </w:rPr>
      </w:pPr>
      <w:r w:rsidRPr="00374DB9">
        <w:rPr>
          <w:rFonts w:ascii="Arial" w:hAnsi="Arial" w:cs="Arial"/>
          <w:bCs/>
          <w:sz w:val="20"/>
          <w:szCs w:val="20"/>
        </w:rPr>
        <w:t>En el caso de los seguros de vida corresponde al importe de los siniestros de montos conocidos o pagos vencidos correspondientes a rentas que no han sido pagados al asegurado o beneficiario.</w:t>
      </w:r>
    </w:p>
    <w:p w14:paraId="72E68B5D" w14:textId="77777777" w:rsidR="00A60220" w:rsidRPr="00A60220" w:rsidRDefault="00A60220" w:rsidP="00A60220">
      <w:pPr>
        <w:jc w:val="both"/>
        <w:rPr>
          <w:rFonts w:ascii="Arial" w:hAnsi="Arial" w:cs="Arial"/>
          <w:bCs/>
          <w:sz w:val="20"/>
          <w:szCs w:val="20"/>
        </w:rPr>
      </w:pPr>
    </w:p>
    <w:p w14:paraId="117D6C38" w14:textId="4D049AB4" w:rsidR="00A60220" w:rsidRPr="00374DB9" w:rsidRDefault="00A60220" w:rsidP="00BE2CFC">
      <w:pPr>
        <w:pStyle w:val="Prrafodelista"/>
        <w:numPr>
          <w:ilvl w:val="0"/>
          <w:numId w:val="8"/>
        </w:numPr>
        <w:ind w:left="567" w:hanging="567"/>
        <w:jc w:val="both"/>
        <w:rPr>
          <w:rFonts w:ascii="Arial" w:hAnsi="Arial" w:cs="Arial"/>
          <w:bCs/>
          <w:sz w:val="20"/>
          <w:szCs w:val="20"/>
        </w:rPr>
      </w:pPr>
      <w:r w:rsidRPr="00374DB9">
        <w:rPr>
          <w:rFonts w:ascii="Arial" w:hAnsi="Arial" w:cs="Arial"/>
          <w:bCs/>
          <w:sz w:val="20"/>
          <w:szCs w:val="20"/>
        </w:rPr>
        <w:t>Siniestros avisados pendientes de liquidación: son aquellos siniestros avisados cuya liquidación no se encuentra en firme porque están en trámite al interior de la entidad y no han sido liquidados</w:t>
      </w:r>
      <w:r w:rsidR="00EA774B">
        <w:rPr>
          <w:rFonts w:ascii="Arial" w:hAnsi="Arial" w:cs="Arial"/>
          <w:bCs/>
          <w:sz w:val="20"/>
          <w:szCs w:val="20"/>
        </w:rPr>
        <w:t>,</w:t>
      </w:r>
      <w:r w:rsidRPr="00374DB9">
        <w:rPr>
          <w:rFonts w:ascii="Arial" w:hAnsi="Arial" w:cs="Arial"/>
          <w:bCs/>
          <w:sz w:val="20"/>
          <w:szCs w:val="20"/>
        </w:rPr>
        <w:t xml:space="preserve"> o porque se está definiendo su liquidación a través de mecanismos distintos al proceso judicial. </w:t>
      </w:r>
    </w:p>
    <w:p w14:paraId="13AD5685" w14:textId="77777777" w:rsidR="00A60220" w:rsidRPr="00A60220" w:rsidRDefault="00A60220" w:rsidP="00A60220">
      <w:pPr>
        <w:jc w:val="both"/>
        <w:rPr>
          <w:rFonts w:ascii="Arial" w:hAnsi="Arial" w:cs="Arial"/>
          <w:bCs/>
          <w:sz w:val="20"/>
          <w:szCs w:val="20"/>
        </w:rPr>
      </w:pPr>
    </w:p>
    <w:p w14:paraId="0AEE3700" w14:textId="39BE11CF" w:rsidR="00374DB9" w:rsidRDefault="00A60220" w:rsidP="00BE2CFC">
      <w:pPr>
        <w:pStyle w:val="Prrafodelista"/>
        <w:numPr>
          <w:ilvl w:val="0"/>
          <w:numId w:val="8"/>
        </w:numPr>
        <w:ind w:left="567" w:hanging="567"/>
        <w:jc w:val="both"/>
        <w:rPr>
          <w:rFonts w:ascii="Arial" w:hAnsi="Arial" w:cs="Arial"/>
          <w:bCs/>
          <w:sz w:val="20"/>
          <w:szCs w:val="20"/>
        </w:rPr>
      </w:pPr>
      <w:r w:rsidRPr="00374DB9">
        <w:rPr>
          <w:rFonts w:ascii="Arial" w:hAnsi="Arial" w:cs="Arial"/>
          <w:bCs/>
          <w:sz w:val="20"/>
          <w:szCs w:val="20"/>
        </w:rPr>
        <w:t>Siniestros avisados pendientes de liquidación en proceso judicial: son aquellos siniestros que se encuentran en proceso judicial de cualquier índole. La reserva de estos siniestros debe comprender tanto el valor reservado para atender una eventual indemnización afectada por la probabilidad del riesgo técnico-jurídico</w:t>
      </w:r>
      <w:r w:rsidR="00FA0857">
        <w:rPr>
          <w:rFonts w:ascii="Arial" w:hAnsi="Arial" w:cs="Arial"/>
          <w:bCs/>
          <w:sz w:val="20"/>
          <w:szCs w:val="20"/>
        </w:rPr>
        <w:t>,</w:t>
      </w:r>
      <w:r w:rsidRPr="00374DB9">
        <w:rPr>
          <w:rFonts w:ascii="Arial" w:hAnsi="Arial" w:cs="Arial"/>
          <w:bCs/>
          <w:sz w:val="20"/>
          <w:szCs w:val="20"/>
        </w:rPr>
        <w:t xml:space="preserve"> como los honorarios de abogados asociados a cada proceso</w:t>
      </w:r>
      <w:r w:rsidR="00164FB4">
        <w:rPr>
          <w:rFonts w:ascii="Arial" w:hAnsi="Arial" w:cs="Arial"/>
          <w:bCs/>
          <w:sz w:val="20"/>
          <w:szCs w:val="20"/>
        </w:rPr>
        <w:t xml:space="preserve"> judicial</w:t>
      </w:r>
      <w:r w:rsidRPr="00374DB9">
        <w:rPr>
          <w:rFonts w:ascii="Arial" w:hAnsi="Arial" w:cs="Arial"/>
          <w:bCs/>
          <w:sz w:val="20"/>
          <w:szCs w:val="20"/>
        </w:rPr>
        <w:t>. La reserva constituida para el pago de honorarios de abogados no debe ser afectada por la probabilidad del riesgo técnico-jurídico del proceso judicial.</w:t>
      </w:r>
    </w:p>
    <w:p w14:paraId="6FC0A555" w14:textId="77777777" w:rsidR="00374DB9" w:rsidRPr="00374DB9" w:rsidRDefault="00374DB9" w:rsidP="00374DB9">
      <w:pPr>
        <w:pStyle w:val="Prrafodelista"/>
        <w:rPr>
          <w:rFonts w:ascii="Arial" w:hAnsi="Arial" w:cs="Arial"/>
          <w:bCs/>
          <w:sz w:val="20"/>
          <w:szCs w:val="20"/>
        </w:rPr>
      </w:pPr>
    </w:p>
    <w:p w14:paraId="45C498F1" w14:textId="4F727993" w:rsidR="00A60220" w:rsidRPr="00A60220" w:rsidRDefault="00A60220" w:rsidP="00195255">
      <w:pPr>
        <w:pStyle w:val="Prrafodelista"/>
        <w:ind w:left="567"/>
        <w:jc w:val="both"/>
        <w:rPr>
          <w:rFonts w:ascii="Arial" w:hAnsi="Arial" w:cs="Arial"/>
          <w:bCs/>
          <w:sz w:val="20"/>
          <w:szCs w:val="20"/>
        </w:rPr>
      </w:pPr>
      <w:r w:rsidRPr="00374DB9">
        <w:rPr>
          <w:rFonts w:ascii="Arial" w:hAnsi="Arial" w:cs="Arial"/>
          <w:bCs/>
          <w:sz w:val="20"/>
          <w:szCs w:val="20"/>
        </w:rPr>
        <w:lastRenderedPageBreak/>
        <w:t>Las entidades aseguradoras deben conformar un comité interdisciplinario de evaluación de siniestros en proceso judicial o conciliación, el cual debe ser integrado, al menos, por un experto en asuntos legales y un responsable administrativo del área técnica de siniestros. Dicho comité deberá reunirse mínimo trimestralmente</w:t>
      </w:r>
      <w:r w:rsidR="00D72DA9">
        <w:rPr>
          <w:rFonts w:ascii="Arial" w:hAnsi="Arial" w:cs="Arial"/>
          <w:bCs/>
          <w:sz w:val="20"/>
          <w:szCs w:val="20"/>
        </w:rPr>
        <w:t xml:space="preserve"> y</w:t>
      </w:r>
      <w:r w:rsidRPr="00A60220">
        <w:rPr>
          <w:rFonts w:ascii="Arial" w:hAnsi="Arial" w:cs="Arial"/>
          <w:bCs/>
          <w:sz w:val="20"/>
          <w:szCs w:val="20"/>
        </w:rPr>
        <w:t xml:space="preserve"> t</w:t>
      </w:r>
      <w:r w:rsidR="00195255">
        <w:rPr>
          <w:rFonts w:ascii="Arial" w:hAnsi="Arial" w:cs="Arial"/>
          <w:bCs/>
          <w:sz w:val="20"/>
          <w:szCs w:val="20"/>
        </w:rPr>
        <w:t>endrá</w:t>
      </w:r>
      <w:r w:rsidRPr="00A60220">
        <w:rPr>
          <w:rFonts w:ascii="Arial" w:hAnsi="Arial" w:cs="Arial"/>
          <w:bCs/>
          <w:sz w:val="20"/>
          <w:szCs w:val="20"/>
        </w:rPr>
        <w:t xml:space="preserve"> las siguientes responsabilidades:</w:t>
      </w:r>
    </w:p>
    <w:p w14:paraId="222C2D98" w14:textId="77777777" w:rsidR="00A60220" w:rsidRPr="00A60220" w:rsidRDefault="00A60220" w:rsidP="00A60220">
      <w:pPr>
        <w:jc w:val="both"/>
        <w:rPr>
          <w:rFonts w:ascii="Arial" w:hAnsi="Arial" w:cs="Arial"/>
          <w:bCs/>
          <w:sz w:val="20"/>
          <w:szCs w:val="20"/>
        </w:rPr>
      </w:pPr>
    </w:p>
    <w:p w14:paraId="3ECA8422" w14:textId="707BDEC5" w:rsidR="00195255" w:rsidRDefault="00A60220" w:rsidP="00BE2CFC">
      <w:pPr>
        <w:pStyle w:val="Prrafodelista"/>
        <w:numPr>
          <w:ilvl w:val="0"/>
          <w:numId w:val="9"/>
        </w:numPr>
        <w:ind w:left="1134" w:hanging="567"/>
        <w:jc w:val="both"/>
        <w:rPr>
          <w:rFonts w:ascii="Arial" w:hAnsi="Arial" w:cs="Arial"/>
          <w:bCs/>
          <w:sz w:val="20"/>
          <w:szCs w:val="20"/>
        </w:rPr>
      </w:pPr>
      <w:r w:rsidRPr="00195255">
        <w:rPr>
          <w:rFonts w:ascii="Arial" w:hAnsi="Arial" w:cs="Arial"/>
          <w:bCs/>
          <w:sz w:val="20"/>
          <w:szCs w:val="20"/>
        </w:rPr>
        <w:t>Determinar la categoría y probabilidad del riesgo técnico-jurídico del proceso judicial, teniendo en cuenta los conocimientos y experiencia de los miembros del comité y la información disponible de los siniestros pagados. La metodología empleada para fijar las probabilidades de que trata este numeral debe estar debidamente documentada y a disposición de la SFC.</w:t>
      </w:r>
    </w:p>
    <w:p w14:paraId="79DDAD57" w14:textId="77777777" w:rsidR="00454CCC" w:rsidRDefault="00454CCC" w:rsidP="00454CCC">
      <w:pPr>
        <w:pStyle w:val="Prrafodelista"/>
        <w:ind w:left="1134"/>
        <w:jc w:val="both"/>
        <w:rPr>
          <w:rFonts w:ascii="Arial" w:hAnsi="Arial" w:cs="Arial"/>
          <w:bCs/>
          <w:sz w:val="20"/>
          <w:szCs w:val="20"/>
        </w:rPr>
      </w:pPr>
    </w:p>
    <w:p w14:paraId="0CC34B14" w14:textId="77777777" w:rsidR="00195255" w:rsidRDefault="00A60220" w:rsidP="00BE2CFC">
      <w:pPr>
        <w:pStyle w:val="Prrafodelista"/>
        <w:numPr>
          <w:ilvl w:val="0"/>
          <w:numId w:val="9"/>
        </w:numPr>
        <w:ind w:left="1134" w:hanging="567"/>
        <w:jc w:val="both"/>
        <w:rPr>
          <w:rFonts w:ascii="Arial" w:hAnsi="Arial" w:cs="Arial"/>
          <w:bCs/>
          <w:sz w:val="20"/>
          <w:szCs w:val="20"/>
        </w:rPr>
      </w:pPr>
      <w:r w:rsidRPr="00195255">
        <w:rPr>
          <w:rFonts w:ascii="Arial" w:hAnsi="Arial" w:cs="Arial"/>
          <w:bCs/>
          <w:sz w:val="20"/>
          <w:szCs w:val="20"/>
        </w:rPr>
        <w:t>Revisar los procesos judiciales, los cambios en la instancia jurídica para los procesos en curso y la terminación del proceso por conciliación o fallo.</w:t>
      </w:r>
    </w:p>
    <w:p w14:paraId="6D9ED073" w14:textId="77777777" w:rsidR="00195255" w:rsidRPr="00AF2915" w:rsidRDefault="00195255" w:rsidP="00AF2915">
      <w:pPr>
        <w:ind w:left="567"/>
        <w:jc w:val="both"/>
        <w:rPr>
          <w:rFonts w:ascii="Arial" w:hAnsi="Arial" w:cs="Arial"/>
          <w:bCs/>
          <w:sz w:val="20"/>
          <w:szCs w:val="20"/>
        </w:rPr>
      </w:pPr>
    </w:p>
    <w:p w14:paraId="29301E73" w14:textId="3B23F5F0" w:rsidR="003637BF" w:rsidRDefault="00A60220" w:rsidP="00BE2CFC">
      <w:pPr>
        <w:pStyle w:val="Prrafodelista"/>
        <w:numPr>
          <w:ilvl w:val="0"/>
          <w:numId w:val="9"/>
        </w:numPr>
        <w:ind w:left="1134" w:hanging="567"/>
        <w:jc w:val="both"/>
        <w:rPr>
          <w:rFonts w:ascii="Arial" w:hAnsi="Arial" w:cs="Arial"/>
          <w:bCs/>
          <w:sz w:val="20"/>
          <w:szCs w:val="20"/>
        </w:rPr>
      </w:pPr>
      <w:r w:rsidRPr="00195255">
        <w:rPr>
          <w:rFonts w:ascii="Arial" w:hAnsi="Arial" w:cs="Arial"/>
          <w:bCs/>
          <w:sz w:val="20"/>
          <w:szCs w:val="20"/>
        </w:rPr>
        <w:t>Hacer un seguimiento de los procesos judiciales en curso.</w:t>
      </w:r>
    </w:p>
    <w:p w14:paraId="1E206ADC" w14:textId="77777777" w:rsidR="00F14730" w:rsidRPr="001913C3" w:rsidRDefault="00F14730" w:rsidP="001913C3">
      <w:pPr>
        <w:jc w:val="both"/>
        <w:rPr>
          <w:rFonts w:ascii="Arial" w:hAnsi="Arial" w:cs="Arial"/>
          <w:bCs/>
          <w:sz w:val="20"/>
          <w:szCs w:val="20"/>
          <w:lang w:val="es-CO"/>
        </w:rPr>
      </w:pPr>
    </w:p>
    <w:p w14:paraId="0685CACE" w14:textId="6FAD3A91" w:rsidR="001913C3" w:rsidRPr="00C969A7" w:rsidRDefault="001913C3" w:rsidP="00BE2CFC">
      <w:pPr>
        <w:pStyle w:val="Prrafodelista"/>
        <w:numPr>
          <w:ilvl w:val="2"/>
          <w:numId w:val="7"/>
        </w:numPr>
        <w:ind w:left="851" w:hanging="851"/>
        <w:jc w:val="both"/>
        <w:rPr>
          <w:rFonts w:ascii="Arial" w:hAnsi="Arial" w:cs="Arial"/>
          <w:bCs/>
          <w:sz w:val="20"/>
          <w:szCs w:val="20"/>
          <w:lang w:val="es-CO"/>
        </w:rPr>
      </w:pPr>
      <w:r>
        <w:rPr>
          <w:rFonts w:ascii="Arial" w:hAnsi="Arial" w:cs="Arial"/>
          <w:b/>
          <w:sz w:val="20"/>
          <w:szCs w:val="20"/>
        </w:rPr>
        <w:t>Reserva de siniestros ocurridos no avisados</w:t>
      </w:r>
    </w:p>
    <w:p w14:paraId="1CC17C11" w14:textId="77777777" w:rsidR="00F574FD" w:rsidRDefault="00F574FD" w:rsidP="00543302">
      <w:pPr>
        <w:jc w:val="both"/>
        <w:rPr>
          <w:rFonts w:ascii="Arial" w:hAnsi="Arial" w:cs="Arial"/>
          <w:b/>
          <w:sz w:val="20"/>
          <w:szCs w:val="20"/>
          <w:lang w:val="es-CO"/>
        </w:rPr>
      </w:pPr>
    </w:p>
    <w:p w14:paraId="2D9773A8" w14:textId="4DE532AA" w:rsidR="00A05593" w:rsidRPr="00615488" w:rsidRDefault="002353AD" w:rsidP="00A05593">
      <w:pPr>
        <w:jc w:val="both"/>
        <w:rPr>
          <w:rFonts w:ascii="Arial" w:hAnsi="Arial" w:cs="Arial"/>
          <w:bCs/>
          <w:sz w:val="20"/>
          <w:szCs w:val="20"/>
          <w:lang w:val="es-CO"/>
        </w:rPr>
      </w:pPr>
      <w:r>
        <w:rPr>
          <w:rFonts w:ascii="Arial" w:hAnsi="Arial" w:cs="Arial"/>
          <w:bCs/>
          <w:sz w:val="20"/>
          <w:szCs w:val="20"/>
          <w:lang w:val="es-CO"/>
        </w:rPr>
        <w:t>De acuerdo con el artículo 2.31.</w:t>
      </w:r>
      <w:r w:rsidR="00632817">
        <w:rPr>
          <w:rFonts w:ascii="Arial" w:hAnsi="Arial" w:cs="Arial"/>
          <w:bCs/>
          <w:sz w:val="20"/>
          <w:szCs w:val="20"/>
          <w:lang w:val="es-CO"/>
        </w:rPr>
        <w:t>4.4.7. del Decreto 2555 de 2010, e</w:t>
      </w:r>
      <w:r w:rsidR="00A05593">
        <w:rPr>
          <w:rFonts w:ascii="Arial" w:hAnsi="Arial" w:cs="Arial"/>
          <w:bCs/>
          <w:sz w:val="20"/>
          <w:szCs w:val="20"/>
          <w:lang w:val="es-CO"/>
        </w:rPr>
        <w:t xml:space="preserve">sta reserva se calcula a partir de la </w:t>
      </w:r>
      <w:r w:rsidR="00A05593" w:rsidRPr="00615488">
        <w:rPr>
          <w:rFonts w:ascii="Arial" w:hAnsi="Arial" w:cs="Arial"/>
          <w:bCs/>
          <w:sz w:val="20"/>
          <w:szCs w:val="20"/>
          <w:lang w:val="es-CO"/>
        </w:rPr>
        <w:t>mejor estimación de las obligaciones futuras en los términos del numeral 3 del presente capítulo, incluyendo el ajuste por riesgo no financiero de que trata el numeral 3.4</w:t>
      </w:r>
      <w:r w:rsidR="00A05593">
        <w:rPr>
          <w:rFonts w:ascii="Arial" w:hAnsi="Arial" w:cs="Arial"/>
          <w:bCs/>
          <w:sz w:val="20"/>
          <w:szCs w:val="20"/>
          <w:lang w:val="es-CO"/>
        </w:rPr>
        <w:t>.</w:t>
      </w:r>
    </w:p>
    <w:p w14:paraId="263CB632" w14:textId="77777777" w:rsidR="00A05593" w:rsidRDefault="00A05593" w:rsidP="00A05593">
      <w:pPr>
        <w:jc w:val="both"/>
        <w:rPr>
          <w:rFonts w:ascii="Arial" w:hAnsi="Arial" w:cs="Arial"/>
          <w:bCs/>
          <w:sz w:val="20"/>
          <w:szCs w:val="20"/>
          <w:lang w:val="es-CO"/>
        </w:rPr>
      </w:pPr>
    </w:p>
    <w:p w14:paraId="02265E8E" w14:textId="0F39E4C5" w:rsidR="00A05593" w:rsidRPr="00632817" w:rsidRDefault="00A05593" w:rsidP="00A05593">
      <w:pPr>
        <w:jc w:val="both"/>
        <w:rPr>
          <w:rFonts w:ascii="Arial" w:hAnsi="Arial" w:cs="Arial"/>
          <w:bCs/>
          <w:sz w:val="20"/>
          <w:szCs w:val="20"/>
          <w:lang w:val="es-CO"/>
        </w:rPr>
      </w:pPr>
      <w:r>
        <w:rPr>
          <w:rFonts w:ascii="Arial" w:hAnsi="Arial" w:cs="Arial"/>
          <w:bCs/>
          <w:sz w:val="20"/>
          <w:szCs w:val="20"/>
          <w:lang w:val="es-CO"/>
        </w:rPr>
        <w:t xml:space="preserve">Para </w:t>
      </w:r>
      <w:r w:rsidR="00332536">
        <w:rPr>
          <w:rFonts w:ascii="Arial" w:hAnsi="Arial" w:cs="Arial"/>
          <w:bCs/>
          <w:sz w:val="20"/>
          <w:szCs w:val="20"/>
          <w:lang w:val="es-CO"/>
        </w:rPr>
        <w:t xml:space="preserve">efectos de esta reserva, </w:t>
      </w:r>
      <w:r>
        <w:rPr>
          <w:rFonts w:ascii="Arial" w:hAnsi="Arial" w:cs="Arial"/>
          <w:bCs/>
          <w:sz w:val="20"/>
          <w:szCs w:val="20"/>
          <w:lang w:val="es-CO"/>
        </w:rPr>
        <w:t xml:space="preserve">el cálculo de </w:t>
      </w:r>
      <w:r w:rsidR="005668AA">
        <w:rPr>
          <w:rFonts w:ascii="Arial" w:hAnsi="Arial" w:cs="Arial"/>
          <w:bCs/>
          <w:sz w:val="20"/>
          <w:szCs w:val="20"/>
          <w:lang w:val="es-CO"/>
        </w:rPr>
        <w:t xml:space="preserve">los flujos futuros </w:t>
      </w:r>
      <w:r w:rsidR="00332536">
        <w:rPr>
          <w:rFonts w:ascii="Arial" w:hAnsi="Arial" w:cs="Arial"/>
          <w:bCs/>
          <w:sz w:val="20"/>
          <w:szCs w:val="20"/>
          <w:lang w:val="es-CO"/>
        </w:rPr>
        <w:t xml:space="preserve">de efectivo de que trata el literal (a) del numeral 3 del presente capítulo se debe </w:t>
      </w:r>
      <w:r w:rsidR="00E11E08">
        <w:rPr>
          <w:rFonts w:ascii="Arial" w:hAnsi="Arial" w:cs="Arial"/>
          <w:bCs/>
          <w:sz w:val="20"/>
          <w:szCs w:val="20"/>
          <w:lang w:val="es-CO"/>
        </w:rPr>
        <w:t xml:space="preserve">realizar a partir de metodologías actuariales </w:t>
      </w:r>
      <w:r w:rsidR="0004248B">
        <w:rPr>
          <w:rFonts w:ascii="Arial" w:hAnsi="Arial" w:cs="Arial"/>
          <w:bCs/>
          <w:sz w:val="20"/>
          <w:szCs w:val="20"/>
          <w:lang w:val="es-CO"/>
        </w:rPr>
        <w:t xml:space="preserve">que tengan en cuenta tanto la información histórica sobre el comportamiento de los siniestros, como estimaciones </w:t>
      </w:r>
      <w:r w:rsidR="006A5699">
        <w:rPr>
          <w:rFonts w:ascii="Arial" w:hAnsi="Arial" w:cs="Arial"/>
          <w:bCs/>
          <w:sz w:val="20"/>
          <w:szCs w:val="20"/>
          <w:lang w:val="es-CO"/>
        </w:rPr>
        <w:t xml:space="preserve">a partir de métodos validados técnicamente con suficiente desarrollo </w:t>
      </w:r>
      <w:r w:rsidR="001B4D3E">
        <w:rPr>
          <w:rFonts w:ascii="Arial" w:hAnsi="Arial" w:cs="Arial"/>
          <w:bCs/>
          <w:sz w:val="20"/>
          <w:szCs w:val="20"/>
          <w:lang w:val="es-CO"/>
        </w:rPr>
        <w:t xml:space="preserve">teórico y práctico. </w:t>
      </w:r>
      <w:r w:rsidR="002353AD">
        <w:rPr>
          <w:rFonts w:ascii="Arial" w:hAnsi="Arial" w:cs="Arial"/>
          <w:bCs/>
          <w:sz w:val="20"/>
          <w:szCs w:val="20"/>
          <w:lang w:val="es-CO"/>
        </w:rPr>
        <w:t xml:space="preserve">Igualmente, </w:t>
      </w:r>
      <w:r w:rsidR="00632817">
        <w:rPr>
          <w:rFonts w:ascii="Arial" w:hAnsi="Arial" w:cs="Arial"/>
          <w:bCs/>
          <w:sz w:val="20"/>
          <w:szCs w:val="20"/>
          <w:lang w:val="es-CO"/>
        </w:rPr>
        <w:t xml:space="preserve">la mejor estimación </w:t>
      </w:r>
      <w:r>
        <w:rPr>
          <w:rFonts w:ascii="Arial" w:hAnsi="Arial" w:cs="Arial"/>
          <w:bCs/>
          <w:sz w:val="20"/>
          <w:szCs w:val="20"/>
          <w:lang w:val="es-CO"/>
        </w:rPr>
        <w:t>debe incluir los costos asociados a la gestión del siniestro</w:t>
      </w:r>
      <w:r w:rsidRPr="0017043A">
        <w:rPr>
          <w:rFonts w:ascii="Arial" w:hAnsi="Arial" w:cs="Arial"/>
          <w:bCs/>
          <w:sz w:val="20"/>
          <w:szCs w:val="20"/>
        </w:rPr>
        <w:t xml:space="preserve">, </w:t>
      </w:r>
      <w:r w:rsidR="00D20689">
        <w:rPr>
          <w:rFonts w:ascii="Arial" w:hAnsi="Arial" w:cs="Arial"/>
          <w:bCs/>
          <w:sz w:val="20"/>
          <w:szCs w:val="20"/>
        </w:rPr>
        <w:t>en los términos</w:t>
      </w:r>
      <w:r>
        <w:rPr>
          <w:rFonts w:ascii="Arial" w:hAnsi="Arial" w:cs="Arial"/>
          <w:bCs/>
          <w:sz w:val="20"/>
          <w:szCs w:val="20"/>
          <w:lang w:val="es-CO"/>
        </w:rPr>
        <w:t xml:space="preserve"> del artículo 2.31.4.4.</w:t>
      </w:r>
      <w:r w:rsidR="00D20689">
        <w:rPr>
          <w:rFonts w:ascii="Arial" w:hAnsi="Arial" w:cs="Arial"/>
          <w:bCs/>
          <w:sz w:val="20"/>
          <w:szCs w:val="20"/>
          <w:lang w:val="es-CO"/>
        </w:rPr>
        <w:t>7</w:t>
      </w:r>
      <w:r>
        <w:rPr>
          <w:rFonts w:ascii="Arial" w:hAnsi="Arial" w:cs="Arial"/>
          <w:bCs/>
          <w:sz w:val="20"/>
          <w:szCs w:val="20"/>
          <w:lang w:val="es-CO"/>
        </w:rPr>
        <w:t>. del Decreto 2555 de 2010.</w:t>
      </w:r>
    </w:p>
    <w:p w14:paraId="1EE6F9C8" w14:textId="77777777" w:rsidR="00A05593" w:rsidRDefault="00A05593" w:rsidP="00A05593">
      <w:pPr>
        <w:jc w:val="both"/>
        <w:rPr>
          <w:rFonts w:ascii="Arial" w:hAnsi="Arial" w:cs="Arial"/>
          <w:b/>
          <w:sz w:val="20"/>
          <w:szCs w:val="20"/>
          <w:lang w:val="es-CO"/>
        </w:rPr>
      </w:pPr>
    </w:p>
    <w:p w14:paraId="2F88C263" w14:textId="07F4C5C0" w:rsidR="00B7257B" w:rsidRDefault="00980320" w:rsidP="00A05593">
      <w:pPr>
        <w:jc w:val="both"/>
        <w:rPr>
          <w:rFonts w:ascii="Arial" w:hAnsi="Arial" w:cs="Arial"/>
          <w:bCs/>
          <w:sz w:val="20"/>
          <w:szCs w:val="20"/>
          <w:lang w:val="es-CO"/>
        </w:rPr>
      </w:pPr>
      <w:r>
        <w:rPr>
          <w:rFonts w:ascii="Arial" w:hAnsi="Arial" w:cs="Arial"/>
          <w:bCs/>
          <w:sz w:val="20"/>
          <w:szCs w:val="20"/>
          <w:lang w:val="es-CO"/>
        </w:rPr>
        <w:t xml:space="preserve">Según lo establecido </w:t>
      </w:r>
      <w:r w:rsidR="00EB546D">
        <w:rPr>
          <w:rFonts w:ascii="Arial" w:hAnsi="Arial" w:cs="Arial"/>
          <w:bCs/>
          <w:sz w:val="20"/>
          <w:szCs w:val="20"/>
          <w:lang w:val="es-CO"/>
        </w:rPr>
        <w:t xml:space="preserve">en el primer inciso del artículo 2.31.4.4.7. del Decreto 2555 de 2010, </w:t>
      </w:r>
      <w:r w:rsidR="00593E4A">
        <w:rPr>
          <w:rFonts w:ascii="Arial" w:hAnsi="Arial" w:cs="Arial"/>
          <w:bCs/>
          <w:sz w:val="20"/>
          <w:szCs w:val="20"/>
          <w:lang w:val="es-CO"/>
        </w:rPr>
        <w:t xml:space="preserve">esta reserva </w:t>
      </w:r>
      <w:r w:rsidR="00EB546D">
        <w:rPr>
          <w:rFonts w:ascii="Arial" w:hAnsi="Arial" w:cs="Arial"/>
          <w:bCs/>
          <w:sz w:val="20"/>
          <w:szCs w:val="20"/>
          <w:lang w:val="es-CO"/>
        </w:rPr>
        <w:t xml:space="preserve">se debe calcular </w:t>
      </w:r>
      <w:r w:rsidR="00C806BF">
        <w:rPr>
          <w:rFonts w:ascii="Arial" w:hAnsi="Arial" w:cs="Arial"/>
          <w:bCs/>
          <w:sz w:val="20"/>
          <w:szCs w:val="20"/>
          <w:lang w:val="es-CO"/>
        </w:rPr>
        <w:t xml:space="preserve">para cada ramo de forma mensual, y comprende tanto los siniestros </w:t>
      </w:r>
      <w:r w:rsidR="003002F4">
        <w:rPr>
          <w:rFonts w:ascii="Arial" w:hAnsi="Arial" w:cs="Arial"/>
          <w:bCs/>
          <w:sz w:val="20"/>
          <w:szCs w:val="20"/>
          <w:lang w:val="es-CO"/>
        </w:rPr>
        <w:t xml:space="preserve">ocurridos no avisados como los </w:t>
      </w:r>
      <w:r w:rsidR="0013401F">
        <w:rPr>
          <w:rFonts w:ascii="Arial" w:hAnsi="Arial" w:cs="Arial"/>
          <w:bCs/>
          <w:sz w:val="20"/>
          <w:szCs w:val="20"/>
          <w:lang w:val="es-CO"/>
        </w:rPr>
        <w:t xml:space="preserve">siniestros </w:t>
      </w:r>
      <w:r w:rsidR="00234F53">
        <w:rPr>
          <w:rFonts w:ascii="Arial" w:hAnsi="Arial" w:cs="Arial"/>
          <w:bCs/>
          <w:sz w:val="20"/>
          <w:szCs w:val="20"/>
          <w:lang w:val="es-CO"/>
        </w:rPr>
        <w:t xml:space="preserve">ocurridos </w:t>
      </w:r>
      <w:r w:rsidR="00A1105F">
        <w:rPr>
          <w:rFonts w:ascii="Arial" w:hAnsi="Arial" w:cs="Arial"/>
          <w:bCs/>
          <w:sz w:val="20"/>
          <w:szCs w:val="20"/>
          <w:lang w:val="es-CO"/>
        </w:rPr>
        <w:t>no suficientemente avisados.</w:t>
      </w:r>
    </w:p>
    <w:p w14:paraId="1392E644" w14:textId="77777777" w:rsidR="00B7257B" w:rsidRDefault="00B7257B" w:rsidP="00A05593">
      <w:pPr>
        <w:jc w:val="both"/>
        <w:rPr>
          <w:rFonts w:ascii="Arial" w:hAnsi="Arial" w:cs="Arial"/>
          <w:bCs/>
          <w:sz w:val="20"/>
          <w:szCs w:val="20"/>
          <w:lang w:val="es-CO"/>
        </w:rPr>
      </w:pPr>
    </w:p>
    <w:p w14:paraId="0D40DB9F" w14:textId="74714289" w:rsidR="00034B9D" w:rsidRDefault="00553923" w:rsidP="00A05593">
      <w:pPr>
        <w:jc w:val="both"/>
        <w:rPr>
          <w:rFonts w:ascii="Arial" w:hAnsi="Arial" w:cs="Arial"/>
          <w:sz w:val="20"/>
          <w:szCs w:val="20"/>
          <w:lang w:val="es-CO"/>
        </w:rPr>
      </w:pPr>
      <w:r>
        <w:rPr>
          <w:rFonts w:ascii="Arial" w:hAnsi="Arial" w:cs="Arial"/>
          <w:bCs/>
          <w:sz w:val="20"/>
          <w:szCs w:val="20"/>
          <w:lang w:val="es-CO"/>
        </w:rPr>
        <w:t xml:space="preserve">Sin embargo, de acuerdo con </w:t>
      </w:r>
      <w:r w:rsidR="00F20CAC">
        <w:rPr>
          <w:rFonts w:ascii="Arial" w:hAnsi="Arial" w:cs="Arial"/>
          <w:bCs/>
          <w:sz w:val="20"/>
          <w:szCs w:val="20"/>
          <w:lang w:val="es-CO"/>
        </w:rPr>
        <w:t xml:space="preserve">el parágrafo 2 del artículo 2.31.4.4.7. del Decreto 2555 de 2010, </w:t>
      </w:r>
      <w:r w:rsidR="002A3F66">
        <w:rPr>
          <w:rFonts w:ascii="Arial" w:hAnsi="Arial" w:cs="Arial"/>
          <w:bCs/>
          <w:sz w:val="20"/>
          <w:szCs w:val="20"/>
          <w:lang w:val="es-CO"/>
        </w:rPr>
        <w:t>las entidades aseguradoras podrán: (</w:t>
      </w:r>
      <w:r w:rsidR="008D30F6">
        <w:rPr>
          <w:rFonts w:ascii="Arial" w:hAnsi="Arial" w:cs="Arial"/>
          <w:bCs/>
          <w:sz w:val="20"/>
          <w:szCs w:val="20"/>
          <w:lang w:val="es-CO"/>
        </w:rPr>
        <w:t>a</w:t>
      </w:r>
      <w:r w:rsidR="002A3F66">
        <w:rPr>
          <w:rFonts w:ascii="Arial" w:hAnsi="Arial" w:cs="Arial"/>
          <w:bCs/>
          <w:sz w:val="20"/>
          <w:szCs w:val="20"/>
          <w:lang w:val="es-CO"/>
        </w:rPr>
        <w:t>)</w:t>
      </w:r>
      <w:r w:rsidR="007946F6">
        <w:rPr>
          <w:rFonts w:ascii="Arial" w:hAnsi="Arial" w:cs="Arial"/>
          <w:bCs/>
          <w:sz w:val="20"/>
          <w:szCs w:val="20"/>
          <w:lang w:val="es-CO"/>
        </w:rPr>
        <w:t xml:space="preserve"> calcular </w:t>
      </w:r>
      <w:r w:rsidR="002A3F66">
        <w:rPr>
          <w:rFonts w:ascii="Arial" w:hAnsi="Arial" w:cs="Arial"/>
          <w:bCs/>
          <w:sz w:val="20"/>
          <w:szCs w:val="20"/>
          <w:lang w:val="es-CO"/>
        </w:rPr>
        <w:t xml:space="preserve">la reserva </w:t>
      </w:r>
      <w:r w:rsidR="004545E0">
        <w:rPr>
          <w:rFonts w:ascii="Arial" w:hAnsi="Arial" w:cs="Arial"/>
          <w:bCs/>
          <w:sz w:val="20"/>
          <w:szCs w:val="20"/>
          <w:lang w:val="es-CO"/>
        </w:rPr>
        <w:t xml:space="preserve">de forma separada </w:t>
      </w:r>
      <w:r w:rsidR="00483EF8">
        <w:rPr>
          <w:rFonts w:ascii="Arial" w:hAnsi="Arial" w:cs="Arial"/>
          <w:bCs/>
          <w:sz w:val="20"/>
          <w:szCs w:val="20"/>
          <w:lang w:val="es-CO"/>
        </w:rPr>
        <w:t>para diferentes amparos o coberturas dentro de un mismo ramo; o (</w:t>
      </w:r>
      <w:r w:rsidR="008D30F6">
        <w:rPr>
          <w:rFonts w:ascii="Arial" w:hAnsi="Arial" w:cs="Arial"/>
          <w:bCs/>
          <w:sz w:val="20"/>
          <w:szCs w:val="20"/>
          <w:lang w:val="es-CO"/>
        </w:rPr>
        <w:t>b</w:t>
      </w:r>
      <w:r w:rsidR="00483EF8">
        <w:rPr>
          <w:rFonts w:ascii="Arial" w:hAnsi="Arial" w:cs="Arial"/>
          <w:bCs/>
          <w:sz w:val="20"/>
          <w:szCs w:val="20"/>
          <w:lang w:val="es-CO"/>
        </w:rPr>
        <w:t>) calcu</w:t>
      </w:r>
      <w:r w:rsidR="00B7257B">
        <w:rPr>
          <w:rFonts w:ascii="Arial" w:hAnsi="Arial" w:cs="Arial"/>
          <w:bCs/>
          <w:sz w:val="20"/>
          <w:szCs w:val="20"/>
          <w:lang w:val="es-CO"/>
        </w:rPr>
        <w:t xml:space="preserve">lar la reserva de forma agrupada para más de un ramo </w:t>
      </w:r>
      <w:r w:rsidR="00677EC9">
        <w:rPr>
          <w:rFonts w:ascii="Arial" w:hAnsi="Arial" w:cs="Arial"/>
          <w:bCs/>
          <w:sz w:val="20"/>
          <w:szCs w:val="20"/>
          <w:lang w:val="es-CO"/>
        </w:rPr>
        <w:t xml:space="preserve">con características siniestrales similares. En cualquiera de estos casos, la entidad deberá remitir a la SFC una solicitud de no objeción </w:t>
      </w:r>
      <w:r w:rsidR="002538B4" w:rsidRPr="002538B4">
        <w:rPr>
          <w:rFonts w:ascii="Arial" w:hAnsi="Arial" w:cs="Arial"/>
          <w:bCs/>
          <w:sz w:val="20"/>
          <w:szCs w:val="20"/>
          <w:lang w:val="es-CO"/>
        </w:rPr>
        <w:t>previo</w:t>
      </w:r>
      <w:r w:rsidR="0092601E" w:rsidRPr="00254ABC">
        <w:rPr>
          <w:rFonts w:ascii="Arial" w:hAnsi="Arial" w:cs="Arial"/>
          <w:bCs/>
          <w:sz w:val="20"/>
          <w:szCs w:val="20"/>
          <w:lang w:val="es-CO"/>
        </w:rPr>
        <w:t xml:space="preserve"> a la</w:t>
      </w:r>
      <w:r w:rsidR="00F024F8">
        <w:rPr>
          <w:rFonts w:ascii="Arial" w:hAnsi="Arial" w:cs="Arial"/>
          <w:bCs/>
          <w:sz w:val="20"/>
          <w:szCs w:val="20"/>
          <w:lang w:val="es-CO"/>
        </w:rPr>
        <w:t xml:space="preserve"> estimación de la </w:t>
      </w:r>
      <w:r w:rsidR="00234F53">
        <w:rPr>
          <w:rFonts w:ascii="Arial" w:hAnsi="Arial" w:cs="Arial"/>
          <w:bCs/>
          <w:sz w:val="20"/>
          <w:szCs w:val="20"/>
          <w:lang w:val="es-CO"/>
        </w:rPr>
        <w:t>reserva</w:t>
      </w:r>
      <w:r w:rsidR="00F024F8">
        <w:rPr>
          <w:rFonts w:ascii="Arial" w:hAnsi="Arial" w:cs="Arial"/>
          <w:bCs/>
          <w:sz w:val="20"/>
          <w:szCs w:val="20"/>
          <w:lang w:val="es-CO"/>
        </w:rPr>
        <w:t xml:space="preserve"> de forma </w:t>
      </w:r>
      <w:r w:rsidR="00234F53">
        <w:rPr>
          <w:rFonts w:ascii="Arial" w:hAnsi="Arial" w:cs="Arial"/>
          <w:bCs/>
          <w:sz w:val="20"/>
          <w:szCs w:val="20"/>
          <w:lang w:val="es-CO"/>
        </w:rPr>
        <w:t xml:space="preserve">segregada </w:t>
      </w:r>
      <w:r w:rsidR="00490E6F">
        <w:rPr>
          <w:rFonts w:ascii="Arial" w:hAnsi="Arial" w:cs="Arial"/>
          <w:bCs/>
          <w:sz w:val="20"/>
          <w:szCs w:val="20"/>
          <w:lang w:val="es-CO"/>
        </w:rPr>
        <w:t>por coberturas o agrupando ramos</w:t>
      </w:r>
      <w:r w:rsidR="003C547D">
        <w:rPr>
          <w:rFonts w:ascii="Arial" w:hAnsi="Arial" w:cs="Arial"/>
          <w:bCs/>
          <w:sz w:val="20"/>
          <w:szCs w:val="20"/>
          <w:lang w:val="es-CO"/>
        </w:rPr>
        <w:t xml:space="preserve">. </w:t>
      </w:r>
      <w:r w:rsidR="00945050" w:rsidRPr="00945050">
        <w:rPr>
          <w:rFonts w:ascii="Arial" w:hAnsi="Arial" w:cs="Arial"/>
          <w:bCs/>
          <w:sz w:val="20"/>
          <w:szCs w:val="20"/>
          <w:lang w:val="es-CO"/>
        </w:rPr>
        <w:t xml:space="preserve">En la solicitud de no objeción </w:t>
      </w:r>
      <w:r w:rsidR="004B7EE0">
        <w:rPr>
          <w:rFonts w:ascii="Arial" w:hAnsi="Arial" w:cs="Arial"/>
          <w:bCs/>
          <w:sz w:val="20"/>
          <w:szCs w:val="20"/>
          <w:lang w:val="es-CO"/>
        </w:rPr>
        <w:t>la entidad</w:t>
      </w:r>
      <w:r w:rsidR="00945050" w:rsidRPr="00945050">
        <w:rPr>
          <w:rFonts w:ascii="Arial" w:hAnsi="Arial" w:cs="Arial"/>
          <w:bCs/>
          <w:sz w:val="20"/>
          <w:szCs w:val="20"/>
          <w:lang w:val="es-CO"/>
        </w:rPr>
        <w:t xml:space="preserve"> debe </w:t>
      </w:r>
      <w:r w:rsidR="004B7EE0">
        <w:rPr>
          <w:rFonts w:ascii="Arial" w:hAnsi="Arial" w:cs="Arial"/>
          <w:bCs/>
          <w:sz w:val="20"/>
          <w:szCs w:val="20"/>
          <w:lang w:val="es-CO"/>
        </w:rPr>
        <w:t>remitir la siguiente información</w:t>
      </w:r>
      <w:r w:rsidR="00D12860">
        <w:rPr>
          <w:rFonts w:ascii="Arial" w:hAnsi="Arial" w:cs="Arial"/>
          <w:bCs/>
          <w:sz w:val="20"/>
          <w:szCs w:val="20"/>
          <w:lang w:val="es-CO"/>
        </w:rPr>
        <w:t>:</w:t>
      </w:r>
      <w:r w:rsidR="00945050" w:rsidRPr="00945050">
        <w:rPr>
          <w:rFonts w:ascii="Arial" w:hAnsi="Arial" w:cs="Arial"/>
          <w:bCs/>
          <w:sz w:val="20"/>
          <w:szCs w:val="20"/>
          <w:lang w:val="es-CO"/>
        </w:rPr>
        <w:t xml:space="preserve"> (i) la motivación de la solicitud</w:t>
      </w:r>
      <w:r w:rsidR="00945050" w:rsidRPr="00945050" w:rsidDel="007E2C9C">
        <w:rPr>
          <w:rFonts w:ascii="Arial" w:hAnsi="Arial" w:cs="Arial"/>
          <w:bCs/>
          <w:sz w:val="20"/>
          <w:szCs w:val="20"/>
          <w:lang w:val="es-CO"/>
        </w:rPr>
        <w:t>,</w:t>
      </w:r>
      <w:r w:rsidR="00DF2829">
        <w:rPr>
          <w:rFonts w:ascii="Arial" w:hAnsi="Arial" w:cs="Arial"/>
          <w:bCs/>
          <w:sz w:val="20"/>
          <w:szCs w:val="20"/>
          <w:lang w:val="es-CO"/>
        </w:rPr>
        <w:t xml:space="preserve"> </w:t>
      </w:r>
      <w:r w:rsidR="00E2024B">
        <w:rPr>
          <w:rFonts w:ascii="Arial" w:hAnsi="Arial" w:cs="Arial"/>
          <w:bCs/>
          <w:sz w:val="20"/>
          <w:szCs w:val="20"/>
          <w:lang w:val="es-CO"/>
        </w:rPr>
        <w:t xml:space="preserve">incluyendo </w:t>
      </w:r>
      <w:r w:rsidR="000545FD">
        <w:rPr>
          <w:rFonts w:ascii="Arial" w:hAnsi="Arial" w:cs="Arial"/>
          <w:bCs/>
          <w:sz w:val="20"/>
          <w:szCs w:val="20"/>
          <w:lang w:val="es-CO"/>
        </w:rPr>
        <w:t xml:space="preserve">las razones técnicas y </w:t>
      </w:r>
      <w:r w:rsidR="00B17571">
        <w:rPr>
          <w:rFonts w:ascii="Arial" w:hAnsi="Arial" w:cs="Arial"/>
          <w:bCs/>
          <w:sz w:val="20"/>
          <w:szCs w:val="20"/>
          <w:lang w:val="es-CO"/>
        </w:rPr>
        <w:t>actuariales</w:t>
      </w:r>
      <w:r w:rsidR="000545FD">
        <w:rPr>
          <w:rFonts w:ascii="Arial" w:hAnsi="Arial" w:cs="Arial"/>
          <w:bCs/>
          <w:sz w:val="20"/>
          <w:szCs w:val="20"/>
          <w:lang w:val="es-CO"/>
        </w:rPr>
        <w:t xml:space="preserve"> que sustentan la petición</w:t>
      </w:r>
      <w:r w:rsidR="00DF2829">
        <w:rPr>
          <w:rFonts w:ascii="Arial" w:hAnsi="Arial" w:cs="Arial"/>
          <w:bCs/>
          <w:sz w:val="20"/>
          <w:szCs w:val="20"/>
          <w:lang w:val="es-CO"/>
        </w:rPr>
        <w:t xml:space="preserve"> y explicación detallada de la metodología utilizada para </w:t>
      </w:r>
      <w:r w:rsidR="005B565A">
        <w:rPr>
          <w:rFonts w:ascii="Arial" w:hAnsi="Arial" w:cs="Arial"/>
          <w:bCs/>
          <w:sz w:val="20"/>
          <w:szCs w:val="20"/>
          <w:lang w:val="es-CO"/>
        </w:rPr>
        <w:t xml:space="preserve">efectuar </w:t>
      </w:r>
      <w:r w:rsidR="00EC5474">
        <w:rPr>
          <w:rFonts w:ascii="Arial" w:hAnsi="Arial" w:cs="Arial"/>
          <w:bCs/>
          <w:sz w:val="20"/>
          <w:szCs w:val="20"/>
          <w:lang w:val="es-CO"/>
        </w:rPr>
        <w:t xml:space="preserve">la </w:t>
      </w:r>
      <w:r w:rsidR="006F3550">
        <w:rPr>
          <w:rFonts w:ascii="Arial" w:hAnsi="Arial" w:cs="Arial"/>
          <w:bCs/>
          <w:sz w:val="20"/>
          <w:szCs w:val="20"/>
          <w:lang w:val="es-CO"/>
        </w:rPr>
        <w:t xml:space="preserve">separación o </w:t>
      </w:r>
      <w:r w:rsidR="00EC5474">
        <w:rPr>
          <w:rFonts w:ascii="Arial" w:hAnsi="Arial" w:cs="Arial"/>
          <w:bCs/>
          <w:sz w:val="20"/>
          <w:szCs w:val="20"/>
          <w:lang w:val="es-CO"/>
        </w:rPr>
        <w:t xml:space="preserve">agrupación </w:t>
      </w:r>
      <w:r w:rsidR="006F3550">
        <w:rPr>
          <w:rFonts w:ascii="Arial" w:hAnsi="Arial" w:cs="Arial"/>
          <w:bCs/>
          <w:sz w:val="20"/>
          <w:szCs w:val="20"/>
          <w:lang w:val="es-CO"/>
        </w:rPr>
        <w:t>de ramos</w:t>
      </w:r>
      <w:r w:rsidR="00740E74">
        <w:rPr>
          <w:rFonts w:ascii="Arial" w:hAnsi="Arial" w:cs="Arial"/>
          <w:bCs/>
          <w:sz w:val="20"/>
          <w:szCs w:val="20"/>
          <w:lang w:val="es-CO"/>
        </w:rPr>
        <w:t>,</w:t>
      </w:r>
      <w:r w:rsidR="006F3550">
        <w:rPr>
          <w:rFonts w:ascii="Arial" w:hAnsi="Arial" w:cs="Arial"/>
          <w:bCs/>
          <w:sz w:val="20"/>
          <w:szCs w:val="20"/>
          <w:lang w:val="es-CO"/>
        </w:rPr>
        <w:t xml:space="preserve"> </w:t>
      </w:r>
      <w:r w:rsidR="002F03A6">
        <w:rPr>
          <w:rFonts w:ascii="Arial" w:hAnsi="Arial" w:cs="Arial"/>
          <w:bCs/>
          <w:sz w:val="20"/>
          <w:szCs w:val="20"/>
          <w:lang w:val="es-CO"/>
        </w:rPr>
        <w:t>(</w:t>
      </w:r>
      <w:proofErr w:type="spellStart"/>
      <w:r w:rsidR="00B17571">
        <w:rPr>
          <w:rFonts w:ascii="Arial" w:hAnsi="Arial" w:cs="Arial"/>
          <w:bCs/>
          <w:sz w:val="20"/>
          <w:szCs w:val="20"/>
          <w:lang w:val="es-CO"/>
        </w:rPr>
        <w:t>ii</w:t>
      </w:r>
      <w:proofErr w:type="spellEnd"/>
      <w:r w:rsidR="00B17571">
        <w:rPr>
          <w:rFonts w:ascii="Arial" w:hAnsi="Arial" w:cs="Arial"/>
          <w:bCs/>
          <w:sz w:val="20"/>
          <w:szCs w:val="20"/>
          <w:lang w:val="es-CO"/>
        </w:rPr>
        <w:t xml:space="preserve">) la propuesta de agrupación o </w:t>
      </w:r>
      <w:r w:rsidR="0040014A">
        <w:rPr>
          <w:rFonts w:ascii="Arial" w:hAnsi="Arial" w:cs="Arial"/>
          <w:bCs/>
          <w:sz w:val="20"/>
          <w:szCs w:val="20"/>
          <w:lang w:val="es-CO"/>
        </w:rPr>
        <w:t>desagregación</w:t>
      </w:r>
      <w:r w:rsidR="00B17571">
        <w:rPr>
          <w:rFonts w:ascii="Arial" w:hAnsi="Arial" w:cs="Arial"/>
          <w:bCs/>
          <w:sz w:val="20"/>
          <w:szCs w:val="20"/>
          <w:lang w:val="es-CO"/>
        </w:rPr>
        <w:t>, junto con el estudio técnico en el cual la entidad demuestre</w:t>
      </w:r>
      <w:r w:rsidR="00DD19E3">
        <w:rPr>
          <w:rFonts w:ascii="Arial" w:hAnsi="Arial" w:cs="Arial"/>
          <w:bCs/>
          <w:sz w:val="20"/>
          <w:szCs w:val="20"/>
          <w:lang w:val="es-CO"/>
        </w:rPr>
        <w:t xml:space="preserve"> </w:t>
      </w:r>
      <w:r w:rsidR="004972FF">
        <w:rPr>
          <w:rFonts w:ascii="Arial" w:hAnsi="Arial" w:cs="Arial"/>
          <w:bCs/>
          <w:sz w:val="20"/>
          <w:szCs w:val="20"/>
          <w:lang w:val="es-CO"/>
        </w:rPr>
        <w:t>que</w:t>
      </w:r>
      <w:r w:rsidR="00B17571">
        <w:rPr>
          <w:rFonts w:ascii="Arial" w:hAnsi="Arial" w:cs="Arial"/>
          <w:bCs/>
          <w:sz w:val="20"/>
          <w:szCs w:val="20"/>
          <w:lang w:val="es-CO"/>
        </w:rPr>
        <w:t>, a partir del comportamiento de la siniestralidad</w:t>
      </w:r>
      <w:r w:rsidR="00592AF9">
        <w:rPr>
          <w:rFonts w:ascii="Arial" w:hAnsi="Arial" w:cs="Arial"/>
          <w:bCs/>
          <w:sz w:val="20"/>
          <w:szCs w:val="20"/>
          <w:lang w:val="es-CO"/>
        </w:rPr>
        <w:t xml:space="preserve"> y las características del riesgo, es actuarialmente razonable efectuar las segregaciones o agrupaciones</w:t>
      </w:r>
      <w:r w:rsidR="005844E0">
        <w:rPr>
          <w:rFonts w:ascii="Arial" w:hAnsi="Arial" w:cs="Arial"/>
          <w:bCs/>
          <w:sz w:val="20"/>
          <w:szCs w:val="20"/>
          <w:lang w:val="es-CO"/>
        </w:rPr>
        <w:t xml:space="preserve"> propuestas, </w:t>
      </w:r>
      <w:r w:rsidR="0033243E">
        <w:rPr>
          <w:rFonts w:ascii="Arial" w:hAnsi="Arial" w:cs="Arial"/>
          <w:bCs/>
          <w:sz w:val="20"/>
          <w:szCs w:val="20"/>
          <w:lang w:val="es-CO"/>
        </w:rPr>
        <w:t>(</w:t>
      </w:r>
      <w:proofErr w:type="spellStart"/>
      <w:r w:rsidR="005844E0" w:rsidRPr="005844E0">
        <w:rPr>
          <w:rFonts w:ascii="Arial" w:hAnsi="Arial" w:cs="Arial"/>
          <w:bCs/>
          <w:sz w:val="20"/>
          <w:szCs w:val="20"/>
          <w:lang w:val="es-CO"/>
        </w:rPr>
        <w:t>iii</w:t>
      </w:r>
      <w:proofErr w:type="spellEnd"/>
      <w:r w:rsidR="005844E0" w:rsidRPr="005844E0">
        <w:rPr>
          <w:rFonts w:ascii="Arial" w:hAnsi="Arial" w:cs="Arial"/>
          <w:bCs/>
          <w:sz w:val="20"/>
          <w:szCs w:val="20"/>
          <w:lang w:val="es-CO"/>
        </w:rPr>
        <w:t>) los impactos estimados sobre la reserva por la segregación de coberturas o agrupación de ramos, y (</w:t>
      </w:r>
      <w:proofErr w:type="spellStart"/>
      <w:r w:rsidR="005844E0" w:rsidRPr="005844E0">
        <w:rPr>
          <w:rFonts w:ascii="Arial" w:hAnsi="Arial" w:cs="Arial"/>
          <w:bCs/>
          <w:sz w:val="20"/>
          <w:szCs w:val="20"/>
          <w:lang w:val="es-CO"/>
        </w:rPr>
        <w:t>iv</w:t>
      </w:r>
      <w:proofErr w:type="spellEnd"/>
      <w:r w:rsidR="005844E0" w:rsidRPr="005844E0">
        <w:rPr>
          <w:rFonts w:ascii="Arial" w:hAnsi="Arial" w:cs="Arial"/>
          <w:bCs/>
          <w:sz w:val="20"/>
          <w:szCs w:val="20"/>
          <w:lang w:val="es-CO"/>
        </w:rPr>
        <w:t>) el concepto del actuario responsable respecto de la agrupación y desagregación propuesta por la entidad, así como sobre la suficiencia de la reserva técnica de siniestros ocurridos no avisados con los ajustes propuestos</w:t>
      </w:r>
      <w:r w:rsidR="00EE5405">
        <w:rPr>
          <w:rFonts w:ascii="Arial" w:hAnsi="Arial" w:cs="Arial"/>
          <w:bCs/>
          <w:sz w:val="20"/>
          <w:szCs w:val="20"/>
          <w:lang w:val="es-CO"/>
        </w:rPr>
        <w:t>.</w:t>
      </w:r>
    </w:p>
    <w:p w14:paraId="7C5CB369" w14:textId="77777777" w:rsidR="001A549C" w:rsidRDefault="001A549C" w:rsidP="00A05593">
      <w:pPr>
        <w:jc w:val="both"/>
        <w:rPr>
          <w:rFonts w:ascii="Arial" w:hAnsi="Arial" w:cs="Arial"/>
          <w:b/>
          <w:sz w:val="20"/>
          <w:szCs w:val="20"/>
          <w:lang w:val="es-CO"/>
        </w:rPr>
      </w:pPr>
    </w:p>
    <w:p w14:paraId="19316CD8" w14:textId="40E767B1" w:rsidR="007355BF" w:rsidRDefault="009B4FD4" w:rsidP="007355BF">
      <w:pPr>
        <w:jc w:val="both"/>
        <w:rPr>
          <w:rFonts w:ascii="Arial" w:hAnsi="Arial" w:cs="Arial"/>
          <w:bCs/>
          <w:sz w:val="20"/>
          <w:szCs w:val="20"/>
          <w:lang w:val="es-CO"/>
        </w:rPr>
      </w:pPr>
      <w:r>
        <w:rPr>
          <w:rFonts w:ascii="Arial" w:hAnsi="Arial" w:cs="Arial"/>
          <w:bCs/>
          <w:sz w:val="20"/>
          <w:szCs w:val="20"/>
          <w:lang w:val="es-CO"/>
        </w:rPr>
        <w:t>L</w:t>
      </w:r>
      <w:r w:rsidR="004F53A9">
        <w:rPr>
          <w:rFonts w:ascii="Arial" w:hAnsi="Arial" w:cs="Arial"/>
          <w:bCs/>
          <w:sz w:val="20"/>
          <w:szCs w:val="20"/>
          <w:lang w:val="es-CO"/>
        </w:rPr>
        <w:t xml:space="preserve">as metodologías para la estimación de los flujos futuros de efectivo </w:t>
      </w:r>
      <w:r w:rsidR="00046C02">
        <w:rPr>
          <w:rFonts w:ascii="Arial" w:hAnsi="Arial" w:cs="Arial"/>
          <w:bCs/>
          <w:sz w:val="20"/>
          <w:szCs w:val="20"/>
          <w:lang w:val="es-CO"/>
        </w:rPr>
        <w:t xml:space="preserve">de la reserva de siniestros ocurridos no avisados </w:t>
      </w:r>
      <w:r w:rsidR="00900470">
        <w:rPr>
          <w:rFonts w:ascii="Arial" w:hAnsi="Arial" w:cs="Arial"/>
          <w:bCs/>
          <w:sz w:val="20"/>
          <w:szCs w:val="20"/>
          <w:lang w:val="es-CO"/>
        </w:rPr>
        <w:t xml:space="preserve">se </w:t>
      </w:r>
      <w:r w:rsidR="004F53A9">
        <w:rPr>
          <w:rFonts w:ascii="Arial" w:hAnsi="Arial" w:cs="Arial"/>
          <w:bCs/>
          <w:sz w:val="20"/>
          <w:szCs w:val="20"/>
          <w:lang w:val="es-CO"/>
        </w:rPr>
        <w:t>debe</w:t>
      </w:r>
      <w:r w:rsidR="00D5578C">
        <w:rPr>
          <w:rFonts w:ascii="Arial" w:hAnsi="Arial" w:cs="Arial"/>
          <w:bCs/>
          <w:sz w:val="20"/>
          <w:szCs w:val="20"/>
          <w:lang w:val="es-CO"/>
        </w:rPr>
        <w:t>n</w:t>
      </w:r>
      <w:r w:rsidR="004F53A9">
        <w:rPr>
          <w:rFonts w:ascii="Arial" w:hAnsi="Arial" w:cs="Arial"/>
          <w:bCs/>
          <w:sz w:val="20"/>
          <w:szCs w:val="20"/>
          <w:lang w:val="es-CO"/>
        </w:rPr>
        <w:t xml:space="preserve"> </w:t>
      </w:r>
      <w:r w:rsidR="00EB11CB">
        <w:rPr>
          <w:rFonts w:ascii="Arial" w:hAnsi="Arial" w:cs="Arial"/>
          <w:bCs/>
          <w:sz w:val="20"/>
          <w:szCs w:val="20"/>
          <w:lang w:val="es-CO"/>
        </w:rPr>
        <w:t xml:space="preserve">soportar </w:t>
      </w:r>
      <w:r w:rsidR="00276274">
        <w:rPr>
          <w:rFonts w:ascii="Arial" w:hAnsi="Arial" w:cs="Arial"/>
          <w:bCs/>
          <w:sz w:val="20"/>
          <w:szCs w:val="20"/>
          <w:lang w:val="es-CO"/>
        </w:rPr>
        <w:t xml:space="preserve">con </w:t>
      </w:r>
      <w:r>
        <w:rPr>
          <w:rFonts w:ascii="Arial" w:hAnsi="Arial" w:cs="Arial"/>
          <w:bCs/>
          <w:sz w:val="20"/>
          <w:szCs w:val="20"/>
          <w:lang w:val="es-CO"/>
        </w:rPr>
        <w:t>la</w:t>
      </w:r>
      <w:r w:rsidR="00EB11CB">
        <w:rPr>
          <w:rFonts w:ascii="Arial" w:hAnsi="Arial" w:cs="Arial"/>
          <w:bCs/>
          <w:sz w:val="20"/>
          <w:szCs w:val="20"/>
          <w:lang w:val="es-CO"/>
        </w:rPr>
        <w:t xml:space="preserve"> información histórica </w:t>
      </w:r>
      <w:r w:rsidR="000E65F4">
        <w:rPr>
          <w:rFonts w:ascii="Arial" w:hAnsi="Arial" w:cs="Arial"/>
          <w:bCs/>
          <w:sz w:val="20"/>
          <w:szCs w:val="20"/>
          <w:lang w:val="es-CO"/>
        </w:rPr>
        <w:t>siniestral propia</w:t>
      </w:r>
      <w:r>
        <w:rPr>
          <w:rFonts w:ascii="Arial" w:hAnsi="Arial" w:cs="Arial"/>
          <w:bCs/>
          <w:sz w:val="20"/>
          <w:szCs w:val="20"/>
          <w:lang w:val="es-CO"/>
        </w:rPr>
        <w:t xml:space="preserve"> requerida</w:t>
      </w:r>
      <w:r w:rsidR="00F20097">
        <w:rPr>
          <w:rFonts w:ascii="Arial" w:hAnsi="Arial" w:cs="Arial"/>
          <w:bCs/>
          <w:sz w:val="20"/>
          <w:szCs w:val="20"/>
          <w:lang w:val="es-CO"/>
        </w:rPr>
        <w:t xml:space="preserve"> en</w:t>
      </w:r>
      <w:r w:rsidR="0047524C">
        <w:rPr>
          <w:rFonts w:ascii="Arial" w:hAnsi="Arial" w:cs="Arial"/>
          <w:bCs/>
          <w:sz w:val="20"/>
          <w:szCs w:val="20"/>
          <w:lang w:val="es-CO"/>
        </w:rPr>
        <w:t xml:space="preserve"> el artículo 2.31.4.4.7. del Decreto 2555 de 2010</w:t>
      </w:r>
      <w:r w:rsidR="00F20097">
        <w:rPr>
          <w:rFonts w:ascii="Arial" w:hAnsi="Arial" w:cs="Arial"/>
          <w:bCs/>
          <w:sz w:val="20"/>
          <w:szCs w:val="20"/>
          <w:lang w:val="es-CO"/>
        </w:rPr>
        <w:t xml:space="preserve"> y </w:t>
      </w:r>
      <w:r w:rsidR="00452E94">
        <w:rPr>
          <w:rFonts w:ascii="Arial" w:hAnsi="Arial" w:cs="Arial"/>
          <w:bCs/>
          <w:sz w:val="20"/>
          <w:szCs w:val="20"/>
          <w:lang w:val="es-CO"/>
        </w:rPr>
        <w:t>en</w:t>
      </w:r>
      <w:r w:rsidR="00F20097">
        <w:rPr>
          <w:rFonts w:ascii="Arial" w:hAnsi="Arial" w:cs="Arial"/>
          <w:bCs/>
          <w:sz w:val="20"/>
          <w:szCs w:val="20"/>
          <w:lang w:val="es-CO"/>
        </w:rPr>
        <w:t xml:space="preserve"> las demás normas que sean aplicables</w:t>
      </w:r>
      <w:r w:rsidR="00452E94">
        <w:rPr>
          <w:rFonts w:ascii="Arial" w:hAnsi="Arial" w:cs="Arial"/>
          <w:bCs/>
          <w:sz w:val="20"/>
          <w:szCs w:val="20"/>
          <w:lang w:val="es-CO"/>
        </w:rPr>
        <w:t>, según el caso</w:t>
      </w:r>
      <w:r w:rsidR="0047524C">
        <w:rPr>
          <w:rFonts w:ascii="Arial" w:hAnsi="Arial" w:cs="Arial"/>
          <w:bCs/>
          <w:sz w:val="20"/>
          <w:szCs w:val="20"/>
          <w:lang w:val="es-CO"/>
        </w:rPr>
        <w:t xml:space="preserve">. </w:t>
      </w:r>
    </w:p>
    <w:p w14:paraId="492C14AD" w14:textId="77777777" w:rsidR="000E65F4" w:rsidRDefault="000E65F4" w:rsidP="00A05593">
      <w:pPr>
        <w:jc w:val="both"/>
        <w:rPr>
          <w:rFonts w:ascii="Arial" w:hAnsi="Arial" w:cs="Arial"/>
          <w:bCs/>
          <w:sz w:val="20"/>
          <w:szCs w:val="20"/>
          <w:lang w:val="es-CO"/>
        </w:rPr>
      </w:pPr>
    </w:p>
    <w:p w14:paraId="56512264" w14:textId="76D24B79" w:rsidR="002304AF" w:rsidRPr="0020677A" w:rsidRDefault="00962E6F" w:rsidP="00A05593">
      <w:pPr>
        <w:jc w:val="both"/>
        <w:rPr>
          <w:rFonts w:ascii="Arial" w:hAnsi="Arial" w:cs="Arial"/>
          <w:bCs/>
          <w:sz w:val="20"/>
          <w:szCs w:val="20"/>
          <w:lang w:val="es-CO"/>
        </w:rPr>
      </w:pPr>
      <w:r>
        <w:rPr>
          <w:rFonts w:ascii="Arial" w:hAnsi="Arial" w:cs="Arial"/>
          <w:bCs/>
          <w:sz w:val="20"/>
          <w:szCs w:val="20"/>
          <w:lang w:val="es-CO"/>
        </w:rPr>
        <w:t xml:space="preserve">Para la entrada en operación de nuevos ramos de seguros </w:t>
      </w:r>
      <w:r w:rsidR="008620C8">
        <w:rPr>
          <w:rFonts w:ascii="Arial" w:hAnsi="Arial" w:cs="Arial"/>
          <w:bCs/>
          <w:sz w:val="20"/>
          <w:szCs w:val="20"/>
          <w:lang w:val="es-CO"/>
        </w:rPr>
        <w:t>las entidades</w:t>
      </w:r>
      <w:r>
        <w:rPr>
          <w:rFonts w:ascii="Arial" w:hAnsi="Arial" w:cs="Arial"/>
          <w:bCs/>
          <w:sz w:val="20"/>
          <w:szCs w:val="20"/>
          <w:lang w:val="es-CO"/>
        </w:rPr>
        <w:t xml:space="preserve"> debe</w:t>
      </w:r>
      <w:r w:rsidR="005C7604">
        <w:rPr>
          <w:rFonts w:ascii="Arial" w:hAnsi="Arial" w:cs="Arial"/>
          <w:bCs/>
          <w:sz w:val="20"/>
          <w:szCs w:val="20"/>
          <w:lang w:val="es-CO"/>
        </w:rPr>
        <w:t>n</w:t>
      </w:r>
      <w:r>
        <w:rPr>
          <w:rFonts w:ascii="Arial" w:hAnsi="Arial" w:cs="Arial"/>
          <w:bCs/>
          <w:sz w:val="20"/>
          <w:szCs w:val="20"/>
          <w:lang w:val="es-CO"/>
        </w:rPr>
        <w:t xml:space="preserve"> tener en cuenta las disposiciones del pará</w:t>
      </w:r>
      <w:r w:rsidR="005C7604">
        <w:rPr>
          <w:rFonts w:ascii="Arial" w:hAnsi="Arial" w:cs="Arial"/>
          <w:bCs/>
          <w:sz w:val="20"/>
          <w:szCs w:val="20"/>
          <w:lang w:val="es-CO"/>
        </w:rPr>
        <w:t>grafo 1 del artículo 2.31.4.4.7. del Decreto 2555 de 2010.</w:t>
      </w:r>
    </w:p>
    <w:p w14:paraId="6898033C" w14:textId="77777777" w:rsidR="00F56AB8" w:rsidRPr="009D0202" w:rsidRDefault="00F56AB8" w:rsidP="00A05593">
      <w:pPr>
        <w:jc w:val="both"/>
        <w:rPr>
          <w:rFonts w:ascii="Arial" w:hAnsi="Arial" w:cs="Arial"/>
          <w:sz w:val="20"/>
          <w:szCs w:val="20"/>
          <w:lang w:val="es-CO"/>
        </w:rPr>
      </w:pPr>
    </w:p>
    <w:p w14:paraId="1E0930B8" w14:textId="77777777" w:rsidR="00A05593" w:rsidRPr="00865D1E" w:rsidRDefault="00A05593" w:rsidP="00BE2CFC">
      <w:pPr>
        <w:pStyle w:val="Prrafodelista"/>
        <w:numPr>
          <w:ilvl w:val="3"/>
          <w:numId w:val="7"/>
        </w:numPr>
        <w:ind w:left="851" w:hanging="851"/>
        <w:jc w:val="both"/>
        <w:rPr>
          <w:rFonts w:ascii="Arial" w:hAnsi="Arial" w:cs="Arial"/>
          <w:b/>
          <w:sz w:val="20"/>
          <w:szCs w:val="20"/>
          <w:lang w:val="es-CO"/>
        </w:rPr>
      </w:pPr>
      <w:r w:rsidRPr="00865D1E">
        <w:rPr>
          <w:rFonts w:ascii="Arial" w:hAnsi="Arial" w:cs="Arial"/>
          <w:b/>
          <w:sz w:val="20"/>
          <w:szCs w:val="20"/>
          <w:lang w:val="es-CO"/>
        </w:rPr>
        <w:t>Reglas especiales para los seguros previsionales de invalidez y sobrevivencia</w:t>
      </w:r>
    </w:p>
    <w:p w14:paraId="619ECC1F" w14:textId="77777777" w:rsidR="00A05593" w:rsidRDefault="00A05593" w:rsidP="00A05593">
      <w:pPr>
        <w:jc w:val="both"/>
        <w:rPr>
          <w:rFonts w:ascii="Arial" w:hAnsi="Arial" w:cs="Arial"/>
          <w:bCs/>
          <w:sz w:val="20"/>
          <w:szCs w:val="20"/>
          <w:lang w:val="es-CO"/>
        </w:rPr>
      </w:pPr>
    </w:p>
    <w:p w14:paraId="15C40A40" w14:textId="6C9CD6CA" w:rsidR="00CE6BAD" w:rsidRDefault="00461C82" w:rsidP="00CE6BAD">
      <w:pPr>
        <w:jc w:val="both"/>
        <w:rPr>
          <w:rFonts w:ascii="Arial" w:hAnsi="Arial" w:cs="Arial"/>
          <w:bCs/>
          <w:sz w:val="20"/>
          <w:szCs w:val="20"/>
        </w:rPr>
      </w:pPr>
      <w:r w:rsidRPr="00C53080">
        <w:rPr>
          <w:rFonts w:ascii="Arial" w:hAnsi="Arial" w:cs="Arial"/>
          <w:bCs/>
          <w:sz w:val="20"/>
          <w:szCs w:val="20"/>
        </w:rPr>
        <w:t>Las entidades aseguradoras deben constituir la reserva de siniestros</w:t>
      </w:r>
      <w:r w:rsidR="008004F7">
        <w:rPr>
          <w:rFonts w:ascii="Arial" w:hAnsi="Arial" w:cs="Arial"/>
          <w:bCs/>
          <w:sz w:val="20"/>
          <w:szCs w:val="20"/>
        </w:rPr>
        <w:t xml:space="preserve"> ocurridos no</w:t>
      </w:r>
      <w:r w:rsidRPr="00C53080">
        <w:rPr>
          <w:rFonts w:ascii="Arial" w:hAnsi="Arial" w:cs="Arial"/>
          <w:bCs/>
          <w:sz w:val="20"/>
          <w:szCs w:val="20"/>
        </w:rPr>
        <w:t xml:space="preserve"> avisados del ramo de seguros previsionales de invalidez y sobrevivencia </w:t>
      </w:r>
      <w:r>
        <w:rPr>
          <w:rFonts w:ascii="Arial" w:hAnsi="Arial" w:cs="Arial"/>
          <w:bCs/>
          <w:sz w:val="20"/>
          <w:szCs w:val="20"/>
        </w:rPr>
        <w:t>a partir de la mejor estimación de sus obligaciones</w:t>
      </w:r>
      <w:r w:rsidR="006F3819">
        <w:rPr>
          <w:rFonts w:ascii="Arial" w:hAnsi="Arial" w:cs="Arial"/>
          <w:bCs/>
          <w:sz w:val="20"/>
          <w:szCs w:val="20"/>
        </w:rPr>
        <w:t>, incluyendo el ajuste por riesgo no financiero,</w:t>
      </w:r>
      <w:r w:rsidR="003C7252">
        <w:rPr>
          <w:rFonts w:ascii="Arial" w:hAnsi="Arial" w:cs="Arial"/>
          <w:bCs/>
          <w:sz w:val="20"/>
          <w:szCs w:val="20"/>
        </w:rPr>
        <w:t xml:space="preserve"> a nivel de póliza</w:t>
      </w:r>
      <w:r w:rsidR="005F7FE4">
        <w:rPr>
          <w:rFonts w:ascii="Arial" w:hAnsi="Arial" w:cs="Arial"/>
          <w:bCs/>
          <w:sz w:val="20"/>
          <w:szCs w:val="20"/>
        </w:rPr>
        <w:t xml:space="preserve"> y coberturas</w:t>
      </w:r>
      <w:r>
        <w:rPr>
          <w:rFonts w:ascii="Arial" w:hAnsi="Arial" w:cs="Arial"/>
          <w:bCs/>
          <w:sz w:val="20"/>
          <w:szCs w:val="20"/>
        </w:rPr>
        <w:t xml:space="preserve">, en línea con las instrucciones del numeral 3 del presente capítulo, y teniendo en cuenta </w:t>
      </w:r>
      <w:r w:rsidRPr="00C53080">
        <w:rPr>
          <w:rFonts w:ascii="Arial" w:hAnsi="Arial" w:cs="Arial"/>
          <w:bCs/>
          <w:sz w:val="20"/>
          <w:szCs w:val="20"/>
        </w:rPr>
        <w:t>lo establecido en</w:t>
      </w:r>
      <w:r w:rsidR="00044224">
        <w:rPr>
          <w:rFonts w:ascii="Arial" w:hAnsi="Arial" w:cs="Arial"/>
          <w:bCs/>
          <w:sz w:val="20"/>
          <w:szCs w:val="20"/>
        </w:rPr>
        <w:t xml:space="preserve"> </w:t>
      </w:r>
      <w:r w:rsidRPr="00C53080">
        <w:rPr>
          <w:rFonts w:ascii="Arial" w:hAnsi="Arial" w:cs="Arial"/>
          <w:bCs/>
          <w:sz w:val="20"/>
          <w:szCs w:val="20"/>
        </w:rPr>
        <w:t>el artículo 2.31.4.4.</w:t>
      </w:r>
      <w:r w:rsidR="00F237ED">
        <w:rPr>
          <w:rFonts w:ascii="Arial" w:hAnsi="Arial" w:cs="Arial"/>
          <w:bCs/>
          <w:sz w:val="20"/>
          <w:szCs w:val="20"/>
        </w:rPr>
        <w:t>8.</w:t>
      </w:r>
      <w:r w:rsidRPr="00C53080">
        <w:rPr>
          <w:rFonts w:ascii="Arial" w:hAnsi="Arial" w:cs="Arial"/>
          <w:bCs/>
          <w:sz w:val="20"/>
          <w:szCs w:val="20"/>
        </w:rPr>
        <w:t xml:space="preserve"> del Decreto 2555 de 2010. </w:t>
      </w:r>
    </w:p>
    <w:p w14:paraId="5A9E28E6" w14:textId="77777777" w:rsidR="000F2AC9" w:rsidRDefault="000F2AC9" w:rsidP="00CE6BAD">
      <w:pPr>
        <w:jc w:val="both"/>
        <w:rPr>
          <w:rFonts w:ascii="Arial" w:hAnsi="Arial" w:cs="Arial"/>
          <w:bCs/>
          <w:sz w:val="20"/>
          <w:szCs w:val="20"/>
        </w:rPr>
      </w:pPr>
    </w:p>
    <w:p w14:paraId="457A6D2C" w14:textId="77777777" w:rsidR="000F2AC9" w:rsidRDefault="000F2AC9" w:rsidP="00CE6BAD">
      <w:pPr>
        <w:jc w:val="both"/>
        <w:rPr>
          <w:rFonts w:ascii="Arial" w:hAnsi="Arial" w:cs="Arial"/>
          <w:bCs/>
          <w:sz w:val="20"/>
          <w:szCs w:val="20"/>
        </w:rPr>
      </w:pPr>
    </w:p>
    <w:p w14:paraId="34C91FA7" w14:textId="77777777" w:rsidR="00C13B73" w:rsidRDefault="00C13B73" w:rsidP="00A05593">
      <w:pPr>
        <w:jc w:val="both"/>
        <w:rPr>
          <w:rFonts w:ascii="Arial" w:hAnsi="Arial" w:cs="Arial"/>
          <w:bCs/>
          <w:sz w:val="20"/>
          <w:szCs w:val="20"/>
        </w:rPr>
      </w:pPr>
    </w:p>
    <w:p w14:paraId="552904B1" w14:textId="481FF021" w:rsidR="00A05593" w:rsidRPr="00626872" w:rsidRDefault="00A05593" w:rsidP="00BE2CFC">
      <w:pPr>
        <w:pStyle w:val="Prrafodelista"/>
        <w:numPr>
          <w:ilvl w:val="3"/>
          <w:numId w:val="7"/>
        </w:numPr>
        <w:ind w:left="851" w:hanging="851"/>
        <w:jc w:val="both"/>
        <w:rPr>
          <w:rFonts w:ascii="Arial" w:hAnsi="Arial" w:cs="Arial"/>
          <w:b/>
          <w:sz w:val="20"/>
          <w:szCs w:val="20"/>
          <w:lang w:val="es-CO"/>
        </w:rPr>
      </w:pPr>
      <w:r w:rsidRPr="00626872">
        <w:rPr>
          <w:rFonts w:ascii="Arial" w:hAnsi="Arial" w:cs="Arial"/>
          <w:b/>
          <w:sz w:val="20"/>
          <w:szCs w:val="20"/>
          <w:lang w:val="es-CO"/>
        </w:rPr>
        <w:lastRenderedPageBreak/>
        <w:t>Reglas especiales para los seguros de riesgos laborales</w:t>
      </w:r>
    </w:p>
    <w:p w14:paraId="21A5E334" w14:textId="77777777" w:rsidR="00A05593" w:rsidRDefault="00A05593" w:rsidP="00A05593">
      <w:pPr>
        <w:jc w:val="both"/>
        <w:rPr>
          <w:rFonts w:ascii="Arial" w:hAnsi="Arial" w:cs="Arial"/>
          <w:bCs/>
          <w:sz w:val="20"/>
          <w:szCs w:val="20"/>
          <w:lang w:val="es-CO"/>
        </w:rPr>
      </w:pPr>
    </w:p>
    <w:p w14:paraId="673851B3" w14:textId="58C89CF7" w:rsidR="0049123C" w:rsidRDefault="00A05593" w:rsidP="00630189">
      <w:pPr>
        <w:jc w:val="both"/>
        <w:rPr>
          <w:rFonts w:ascii="Arial" w:hAnsi="Arial" w:cs="Arial"/>
          <w:bCs/>
          <w:sz w:val="20"/>
          <w:szCs w:val="20"/>
        </w:rPr>
      </w:pPr>
      <w:r>
        <w:rPr>
          <w:rFonts w:ascii="Arial" w:hAnsi="Arial" w:cs="Arial"/>
          <w:bCs/>
          <w:sz w:val="20"/>
          <w:szCs w:val="20"/>
        </w:rPr>
        <w:t xml:space="preserve">En el caso </w:t>
      </w:r>
      <w:r w:rsidR="00630189">
        <w:rPr>
          <w:rFonts w:ascii="Arial" w:hAnsi="Arial" w:cs="Arial"/>
          <w:bCs/>
          <w:sz w:val="20"/>
          <w:szCs w:val="20"/>
        </w:rPr>
        <w:t xml:space="preserve">de </w:t>
      </w:r>
      <w:r w:rsidR="00630189" w:rsidRPr="00C53080">
        <w:rPr>
          <w:rFonts w:ascii="Arial" w:hAnsi="Arial" w:cs="Arial"/>
          <w:bCs/>
          <w:sz w:val="20"/>
          <w:szCs w:val="20"/>
        </w:rPr>
        <w:t>la reserva de siniestros</w:t>
      </w:r>
      <w:r w:rsidR="00630189">
        <w:rPr>
          <w:rFonts w:ascii="Arial" w:hAnsi="Arial" w:cs="Arial"/>
          <w:bCs/>
          <w:sz w:val="20"/>
          <w:szCs w:val="20"/>
        </w:rPr>
        <w:t xml:space="preserve"> ocurridos no</w:t>
      </w:r>
      <w:r w:rsidR="00630189" w:rsidRPr="00C53080">
        <w:rPr>
          <w:rFonts w:ascii="Arial" w:hAnsi="Arial" w:cs="Arial"/>
          <w:bCs/>
          <w:sz w:val="20"/>
          <w:szCs w:val="20"/>
        </w:rPr>
        <w:t xml:space="preserve"> avisados del ramo de </w:t>
      </w:r>
      <w:r w:rsidR="00630189">
        <w:rPr>
          <w:rFonts w:ascii="Arial" w:hAnsi="Arial" w:cs="Arial"/>
          <w:bCs/>
          <w:sz w:val="20"/>
          <w:szCs w:val="20"/>
        </w:rPr>
        <w:t>riesgos laborales, las entidades deben realizar la mejor estimación de sus obligaciones</w:t>
      </w:r>
      <w:r w:rsidR="00D55300">
        <w:rPr>
          <w:rFonts w:ascii="Arial" w:hAnsi="Arial" w:cs="Arial"/>
          <w:bCs/>
          <w:sz w:val="20"/>
          <w:szCs w:val="20"/>
        </w:rPr>
        <w:t xml:space="preserve"> a nivel de prestaciones asistenciales</w:t>
      </w:r>
      <w:r w:rsidR="00630189">
        <w:rPr>
          <w:rFonts w:ascii="Arial" w:hAnsi="Arial" w:cs="Arial"/>
          <w:bCs/>
          <w:sz w:val="20"/>
          <w:szCs w:val="20"/>
        </w:rPr>
        <w:t xml:space="preserve">, en línea con las instrucciones del numeral 3 del presente capítulo, y de acuerdo con lo señalado en el </w:t>
      </w:r>
      <w:r w:rsidR="00630189" w:rsidRPr="00C53080">
        <w:rPr>
          <w:rFonts w:ascii="Arial" w:hAnsi="Arial" w:cs="Arial"/>
          <w:bCs/>
          <w:sz w:val="20"/>
          <w:szCs w:val="20"/>
        </w:rPr>
        <w:t>artículo 2.31.4.4.</w:t>
      </w:r>
      <w:r w:rsidR="00630189">
        <w:rPr>
          <w:rFonts w:ascii="Arial" w:hAnsi="Arial" w:cs="Arial"/>
          <w:bCs/>
          <w:sz w:val="20"/>
          <w:szCs w:val="20"/>
        </w:rPr>
        <w:t>8.</w:t>
      </w:r>
      <w:r w:rsidR="00630189" w:rsidRPr="00C53080">
        <w:rPr>
          <w:rFonts w:ascii="Arial" w:hAnsi="Arial" w:cs="Arial"/>
          <w:bCs/>
          <w:sz w:val="20"/>
          <w:szCs w:val="20"/>
        </w:rPr>
        <w:t xml:space="preserve"> del Decreto 2555 de 2010.</w:t>
      </w:r>
    </w:p>
    <w:p w14:paraId="2161A482" w14:textId="77777777" w:rsidR="00DD5B00" w:rsidRDefault="00DD5B00" w:rsidP="00543302">
      <w:pPr>
        <w:jc w:val="both"/>
        <w:rPr>
          <w:rFonts w:ascii="Arial" w:hAnsi="Arial" w:cs="Arial"/>
          <w:b/>
          <w:sz w:val="20"/>
          <w:szCs w:val="20"/>
          <w:lang w:val="es-CO"/>
        </w:rPr>
      </w:pPr>
    </w:p>
    <w:p w14:paraId="5162BC81" w14:textId="23EC2669" w:rsidR="003E3454" w:rsidRDefault="00C90C00" w:rsidP="00BE2CFC">
      <w:pPr>
        <w:pStyle w:val="Prrafodelista"/>
        <w:numPr>
          <w:ilvl w:val="1"/>
          <w:numId w:val="7"/>
        </w:numPr>
        <w:ind w:left="851" w:hanging="851"/>
        <w:jc w:val="both"/>
        <w:rPr>
          <w:rFonts w:ascii="Arial" w:hAnsi="Arial" w:cs="Arial"/>
          <w:b/>
          <w:sz w:val="20"/>
          <w:szCs w:val="20"/>
          <w:lang w:val="es-CO"/>
        </w:rPr>
      </w:pPr>
      <w:r w:rsidRPr="00AA3DCC">
        <w:rPr>
          <w:rFonts w:ascii="Arial" w:hAnsi="Arial" w:cs="Arial"/>
          <w:b/>
          <w:sz w:val="20"/>
          <w:szCs w:val="20"/>
          <w:lang w:val="es-CO"/>
        </w:rPr>
        <w:t xml:space="preserve">Reserva de </w:t>
      </w:r>
      <w:r w:rsidR="003E3454">
        <w:rPr>
          <w:rFonts w:ascii="Arial" w:hAnsi="Arial" w:cs="Arial"/>
          <w:b/>
          <w:sz w:val="20"/>
          <w:szCs w:val="20"/>
          <w:lang w:val="es-CO"/>
        </w:rPr>
        <w:t>recobro</w:t>
      </w:r>
      <w:r w:rsidR="00B55831">
        <w:rPr>
          <w:rFonts w:ascii="Arial" w:hAnsi="Arial" w:cs="Arial"/>
          <w:b/>
          <w:sz w:val="20"/>
          <w:szCs w:val="20"/>
          <w:lang w:val="es-CO"/>
        </w:rPr>
        <w:t>s</w:t>
      </w:r>
      <w:r w:rsidR="003E3454">
        <w:rPr>
          <w:rFonts w:ascii="Arial" w:hAnsi="Arial" w:cs="Arial"/>
          <w:b/>
          <w:sz w:val="20"/>
          <w:szCs w:val="20"/>
          <w:lang w:val="es-CO"/>
        </w:rPr>
        <w:t xml:space="preserve"> de enfermedad laboral</w:t>
      </w:r>
    </w:p>
    <w:p w14:paraId="522E83A0" w14:textId="77777777" w:rsidR="00703276" w:rsidRDefault="00703276" w:rsidP="00703276">
      <w:pPr>
        <w:jc w:val="both"/>
        <w:rPr>
          <w:rFonts w:ascii="Arial" w:hAnsi="Arial" w:cs="Arial"/>
          <w:b/>
          <w:sz w:val="20"/>
          <w:szCs w:val="20"/>
          <w:lang w:val="es-CO"/>
        </w:rPr>
      </w:pPr>
    </w:p>
    <w:p w14:paraId="1AB51970" w14:textId="5E238D2E" w:rsidR="004E5383" w:rsidRPr="004E5383" w:rsidRDefault="004E5383" w:rsidP="004E5383">
      <w:pPr>
        <w:jc w:val="both"/>
        <w:rPr>
          <w:rFonts w:ascii="Arial" w:hAnsi="Arial" w:cs="Arial"/>
          <w:bCs/>
          <w:sz w:val="20"/>
          <w:szCs w:val="20"/>
        </w:rPr>
      </w:pPr>
      <w:r>
        <w:rPr>
          <w:rFonts w:ascii="Arial" w:hAnsi="Arial" w:cs="Arial"/>
          <w:bCs/>
          <w:sz w:val="20"/>
          <w:szCs w:val="20"/>
          <w:lang w:val="es-CO"/>
        </w:rPr>
        <w:t>D</w:t>
      </w:r>
      <w:r w:rsidR="00467724">
        <w:rPr>
          <w:rFonts w:ascii="Arial" w:hAnsi="Arial" w:cs="Arial"/>
          <w:bCs/>
          <w:sz w:val="20"/>
          <w:szCs w:val="20"/>
          <w:lang w:val="es-CO"/>
        </w:rPr>
        <w:t xml:space="preserve">e acuerdo con lo previsto en el parágrafo único </w:t>
      </w:r>
      <w:r w:rsidR="00467724">
        <w:rPr>
          <w:rFonts w:ascii="Arial" w:hAnsi="Arial" w:cs="Arial"/>
          <w:bCs/>
          <w:sz w:val="20"/>
          <w:szCs w:val="20"/>
        </w:rPr>
        <w:t>d</w:t>
      </w:r>
      <w:r w:rsidR="00467724" w:rsidRPr="00C53080">
        <w:rPr>
          <w:rFonts w:ascii="Arial" w:hAnsi="Arial" w:cs="Arial"/>
          <w:bCs/>
          <w:sz w:val="20"/>
          <w:szCs w:val="20"/>
        </w:rPr>
        <w:t>el artículo 2.31.4.4.</w:t>
      </w:r>
      <w:r w:rsidR="00467724">
        <w:rPr>
          <w:rFonts w:ascii="Arial" w:hAnsi="Arial" w:cs="Arial"/>
          <w:bCs/>
          <w:sz w:val="20"/>
          <w:szCs w:val="20"/>
        </w:rPr>
        <w:t>8.</w:t>
      </w:r>
      <w:r w:rsidR="00467724" w:rsidRPr="00C53080">
        <w:rPr>
          <w:rFonts w:ascii="Arial" w:hAnsi="Arial" w:cs="Arial"/>
          <w:bCs/>
          <w:sz w:val="20"/>
          <w:szCs w:val="20"/>
        </w:rPr>
        <w:t xml:space="preserve"> del Decreto 2555 de 2010</w:t>
      </w:r>
      <w:r w:rsidR="00467724">
        <w:rPr>
          <w:rFonts w:ascii="Arial" w:hAnsi="Arial" w:cs="Arial"/>
          <w:bCs/>
          <w:sz w:val="20"/>
          <w:szCs w:val="20"/>
        </w:rPr>
        <w:t xml:space="preserve">, </w:t>
      </w:r>
      <w:r w:rsidR="002C18CE">
        <w:rPr>
          <w:rFonts w:ascii="Arial" w:hAnsi="Arial" w:cs="Arial"/>
          <w:bCs/>
          <w:sz w:val="20"/>
          <w:szCs w:val="20"/>
          <w:lang w:val="es-CO"/>
        </w:rPr>
        <w:t xml:space="preserve">las </w:t>
      </w:r>
      <w:r w:rsidRPr="004E5383">
        <w:rPr>
          <w:rFonts w:ascii="Arial" w:hAnsi="Arial" w:cs="Arial"/>
          <w:bCs/>
          <w:sz w:val="20"/>
          <w:szCs w:val="20"/>
        </w:rPr>
        <w:t xml:space="preserve">entidades aseguradoras autorizadas para la operación del ramo de riesgos laborales deben destinar mensualmente el 2% de las primas devengadas del ramo durante </w:t>
      </w:r>
      <w:r w:rsidR="00BD368B">
        <w:rPr>
          <w:rFonts w:ascii="Arial" w:hAnsi="Arial" w:cs="Arial"/>
          <w:bCs/>
          <w:sz w:val="20"/>
          <w:szCs w:val="20"/>
        </w:rPr>
        <w:t>cada mes</w:t>
      </w:r>
      <w:r w:rsidRPr="004E5383">
        <w:rPr>
          <w:rFonts w:ascii="Arial" w:hAnsi="Arial" w:cs="Arial"/>
          <w:bCs/>
          <w:sz w:val="20"/>
          <w:szCs w:val="20"/>
        </w:rPr>
        <w:t xml:space="preserve"> para la constitución de la reserva de enfermedad laboral</w:t>
      </w:r>
      <w:r w:rsidR="00BD368B">
        <w:rPr>
          <w:rFonts w:ascii="Arial" w:hAnsi="Arial" w:cs="Arial"/>
          <w:bCs/>
          <w:sz w:val="20"/>
          <w:szCs w:val="20"/>
        </w:rPr>
        <w:t>.</w:t>
      </w:r>
    </w:p>
    <w:p w14:paraId="309D9210" w14:textId="77777777" w:rsidR="004E5383" w:rsidRPr="004E5383" w:rsidRDefault="004E5383" w:rsidP="004E5383">
      <w:pPr>
        <w:jc w:val="both"/>
        <w:rPr>
          <w:rFonts w:ascii="Arial" w:hAnsi="Arial" w:cs="Arial"/>
          <w:bCs/>
          <w:sz w:val="20"/>
          <w:szCs w:val="20"/>
        </w:rPr>
      </w:pPr>
    </w:p>
    <w:p w14:paraId="5BFB3815" w14:textId="776E1F99" w:rsidR="00703276" w:rsidRDefault="004E5383" w:rsidP="004E5383">
      <w:pPr>
        <w:jc w:val="both"/>
        <w:rPr>
          <w:rFonts w:ascii="Arial" w:hAnsi="Arial" w:cs="Arial"/>
          <w:bCs/>
          <w:sz w:val="20"/>
          <w:szCs w:val="20"/>
        </w:rPr>
      </w:pPr>
      <w:r w:rsidRPr="004E5383">
        <w:rPr>
          <w:rFonts w:ascii="Arial" w:hAnsi="Arial" w:cs="Arial"/>
          <w:bCs/>
          <w:sz w:val="20"/>
          <w:szCs w:val="20"/>
        </w:rPr>
        <w:t xml:space="preserve">Una vez realizado el cálculo del monto máximo de acumulación en los plazos que </w:t>
      </w:r>
      <w:r w:rsidR="00656E17">
        <w:rPr>
          <w:rFonts w:ascii="Arial" w:hAnsi="Arial" w:cs="Arial"/>
          <w:bCs/>
          <w:sz w:val="20"/>
          <w:szCs w:val="20"/>
        </w:rPr>
        <w:t xml:space="preserve">se </w:t>
      </w:r>
      <w:r w:rsidRPr="004E5383">
        <w:rPr>
          <w:rFonts w:ascii="Arial" w:hAnsi="Arial" w:cs="Arial"/>
          <w:bCs/>
          <w:sz w:val="20"/>
          <w:szCs w:val="20"/>
        </w:rPr>
        <w:t>define</w:t>
      </w:r>
      <w:r w:rsidR="00656E17">
        <w:rPr>
          <w:rFonts w:ascii="Arial" w:hAnsi="Arial" w:cs="Arial"/>
          <w:bCs/>
          <w:sz w:val="20"/>
          <w:szCs w:val="20"/>
        </w:rPr>
        <w:t>n</w:t>
      </w:r>
      <w:r w:rsidRPr="004E5383">
        <w:rPr>
          <w:rFonts w:ascii="Arial" w:hAnsi="Arial" w:cs="Arial"/>
          <w:bCs/>
          <w:sz w:val="20"/>
          <w:szCs w:val="20"/>
        </w:rPr>
        <w:t xml:space="preserve"> </w:t>
      </w:r>
      <w:r w:rsidR="00656E17">
        <w:rPr>
          <w:rFonts w:ascii="Arial" w:hAnsi="Arial" w:cs="Arial"/>
          <w:bCs/>
          <w:sz w:val="20"/>
          <w:szCs w:val="20"/>
        </w:rPr>
        <w:t>en</w:t>
      </w:r>
      <w:r w:rsidRPr="004E5383">
        <w:rPr>
          <w:rFonts w:ascii="Arial" w:hAnsi="Arial" w:cs="Arial"/>
          <w:bCs/>
          <w:sz w:val="20"/>
          <w:szCs w:val="20"/>
        </w:rPr>
        <w:t xml:space="preserve"> </w:t>
      </w:r>
      <w:r w:rsidR="00B87087">
        <w:rPr>
          <w:rFonts w:ascii="Arial" w:hAnsi="Arial" w:cs="Arial"/>
          <w:bCs/>
          <w:sz w:val="20"/>
          <w:szCs w:val="20"/>
        </w:rPr>
        <w:t>el anexo 2 d</w:t>
      </w:r>
      <w:r w:rsidRPr="004E5383">
        <w:rPr>
          <w:rFonts w:ascii="Arial" w:hAnsi="Arial" w:cs="Arial"/>
          <w:bCs/>
          <w:sz w:val="20"/>
          <w:szCs w:val="20"/>
        </w:rPr>
        <w:t xml:space="preserve">el presente capítulo, las entidades aseguradoras podrán proceder con la liberación parcial de la reserva en los términos del </w:t>
      </w:r>
      <w:r w:rsidR="00EB7C3A" w:rsidRPr="00F45562">
        <w:rPr>
          <w:rFonts w:ascii="Arial" w:hAnsi="Arial" w:cs="Arial"/>
          <w:bCs/>
          <w:sz w:val="20"/>
          <w:szCs w:val="20"/>
        </w:rPr>
        <w:t>anexo 2</w:t>
      </w:r>
      <w:r w:rsidRPr="00F45562">
        <w:rPr>
          <w:rFonts w:ascii="Arial" w:hAnsi="Arial" w:cs="Arial"/>
          <w:bCs/>
          <w:sz w:val="20"/>
          <w:szCs w:val="20"/>
        </w:rPr>
        <w:t xml:space="preserve"> del presente capítulo,</w:t>
      </w:r>
      <w:r w:rsidRPr="004E5383">
        <w:rPr>
          <w:rFonts w:ascii="Arial" w:hAnsi="Arial" w:cs="Arial"/>
          <w:bCs/>
          <w:sz w:val="20"/>
          <w:szCs w:val="20"/>
        </w:rPr>
        <w:t xml:space="preserve"> sin perjuicio de la obligación de continuar constituyendo esta reserva con el 2% de las primas devengadas mensualmente hasta el momento en el cual se realice el cálculo del monto mínimo y máximo del siguiente año calendario.</w:t>
      </w:r>
    </w:p>
    <w:p w14:paraId="55A87CFB" w14:textId="77777777" w:rsidR="00925458" w:rsidRDefault="00925458" w:rsidP="004E5383">
      <w:pPr>
        <w:jc w:val="both"/>
        <w:rPr>
          <w:rFonts w:ascii="Arial" w:hAnsi="Arial" w:cs="Arial"/>
          <w:bCs/>
          <w:sz w:val="20"/>
          <w:szCs w:val="20"/>
        </w:rPr>
      </w:pPr>
    </w:p>
    <w:p w14:paraId="23440A75" w14:textId="7478A7E0" w:rsidR="00925458" w:rsidRDefault="00925458" w:rsidP="004E5383">
      <w:pPr>
        <w:jc w:val="both"/>
        <w:rPr>
          <w:rFonts w:ascii="Arial" w:hAnsi="Arial" w:cs="Arial"/>
          <w:bCs/>
          <w:sz w:val="20"/>
          <w:szCs w:val="20"/>
        </w:rPr>
      </w:pPr>
      <w:r w:rsidRPr="00925458">
        <w:rPr>
          <w:rFonts w:ascii="Arial" w:hAnsi="Arial" w:cs="Arial"/>
          <w:bCs/>
          <w:sz w:val="20"/>
          <w:szCs w:val="20"/>
        </w:rPr>
        <w:t>Las instrucciones relacionadas con el cálculo del monto mínimo y máximo de la reserva técnica de enfermedad laboral no implican una modificación en la dinámica contable prevista en los marcos técnicos normativos que les resulten aplicables</w:t>
      </w:r>
      <w:r w:rsidR="00E41F9D">
        <w:rPr>
          <w:rFonts w:ascii="Arial" w:hAnsi="Arial" w:cs="Arial"/>
          <w:bCs/>
          <w:sz w:val="20"/>
          <w:szCs w:val="20"/>
        </w:rPr>
        <w:t>,</w:t>
      </w:r>
      <w:r w:rsidRPr="00925458">
        <w:rPr>
          <w:rFonts w:ascii="Arial" w:hAnsi="Arial" w:cs="Arial"/>
          <w:bCs/>
          <w:sz w:val="20"/>
          <w:szCs w:val="20"/>
        </w:rPr>
        <w:t xml:space="preserve"> de acuerdo con la normatividad vigente</w:t>
      </w:r>
      <w:r w:rsidR="00A06725">
        <w:rPr>
          <w:rFonts w:ascii="Arial" w:hAnsi="Arial" w:cs="Arial"/>
          <w:bCs/>
          <w:sz w:val="20"/>
          <w:szCs w:val="20"/>
        </w:rPr>
        <w:t xml:space="preserve"> </w:t>
      </w:r>
      <w:r w:rsidR="00A06725" w:rsidRPr="00B80B18">
        <w:rPr>
          <w:rFonts w:ascii="Arial" w:hAnsi="Arial" w:cs="Arial"/>
          <w:bCs/>
          <w:sz w:val="20"/>
          <w:szCs w:val="20"/>
        </w:rPr>
        <w:t>y el capítulo XXXV de la CBCF</w:t>
      </w:r>
      <w:r w:rsidRPr="00B80B18">
        <w:rPr>
          <w:rFonts w:ascii="Arial" w:hAnsi="Arial" w:cs="Arial"/>
          <w:bCs/>
          <w:sz w:val="20"/>
          <w:szCs w:val="20"/>
        </w:rPr>
        <w:t>.</w:t>
      </w:r>
      <w:r w:rsidR="00120826">
        <w:rPr>
          <w:rFonts w:ascii="Arial" w:hAnsi="Arial" w:cs="Arial"/>
          <w:bCs/>
          <w:sz w:val="20"/>
          <w:szCs w:val="20"/>
        </w:rPr>
        <w:t xml:space="preserve"> </w:t>
      </w:r>
    </w:p>
    <w:p w14:paraId="03912A79" w14:textId="77777777" w:rsidR="0003227E" w:rsidRPr="004E5383" w:rsidRDefault="0003227E" w:rsidP="004E5383">
      <w:pPr>
        <w:jc w:val="both"/>
        <w:rPr>
          <w:rFonts w:ascii="Arial" w:hAnsi="Arial" w:cs="Arial"/>
          <w:bCs/>
          <w:sz w:val="20"/>
          <w:szCs w:val="20"/>
        </w:rPr>
      </w:pPr>
    </w:p>
    <w:p w14:paraId="241D4DA8" w14:textId="68508820" w:rsidR="0032073D" w:rsidRDefault="001E1968" w:rsidP="00BE2CFC">
      <w:pPr>
        <w:pStyle w:val="Prrafodelista"/>
        <w:numPr>
          <w:ilvl w:val="1"/>
          <w:numId w:val="7"/>
        </w:numPr>
        <w:ind w:left="851" w:hanging="851"/>
        <w:jc w:val="both"/>
        <w:rPr>
          <w:rFonts w:ascii="Arial" w:hAnsi="Arial" w:cs="Arial"/>
          <w:b/>
          <w:sz w:val="20"/>
          <w:szCs w:val="20"/>
          <w:lang w:val="es-CO"/>
        </w:rPr>
      </w:pPr>
      <w:r>
        <w:rPr>
          <w:rFonts w:ascii="Arial" w:hAnsi="Arial" w:cs="Arial"/>
          <w:b/>
          <w:sz w:val="20"/>
          <w:szCs w:val="20"/>
          <w:lang w:val="es-CO"/>
        </w:rPr>
        <w:t xml:space="preserve">Reserva </w:t>
      </w:r>
      <w:r w:rsidR="0032073D">
        <w:rPr>
          <w:rFonts w:ascii="Arial" w:hAnsi="Arial" w:cs="Arial"/>
          <w:b/>
          <w:sz w:val="20"/>
          <w:szCs w:val="20"/>
          <w:lang w:val="es-CO"/>
        </w:rPr>
        <w:t xml:space="preserve">de </w:t>
      </w:r>
      <w:r w:rsidR="00623127">
        <w:rPr>
          <w:rFonts w:ascii="Arial" w:hAnsi="Arial" w:cs="Arial"/>
          <w:b/>
          <w:sz w:val="20"/>
          <w:szCs w:val="20"/>
          <w:lang w:val="es-CO"/>
        </w:rPr>
        <w:t>d</w:t>
      </w:r>
      <w:r w:rsidR="00C90C00" w:rsidRPr="00737B5F">
        <w:rPr>
          <w:rFonts w:ascii="Arial" w:hAnsi="Arial" w:cs="Arial"/>
          <w:b/>
          <w:sz w:val="20"/>
          <w:szCs w:val="20"/>
          <w:lang w:val="es-CO"/>
        </w:rPr>
        <w:t xml:space="preserve">esviación de </w:t>
      </w:r>
      <w:r w:rsidR="00AA3DCC" w:rsidRPr="00737B5F">
        <w:rPr>
          <w:rFonts w:ascii="Arial" w:hAnsi="Arial" w:cs="Arial"/>
          <w:b/>
          <w:sz w:val="20"/>
          <w:szCs w:val="20"/>
          <w:lang w:val="es-CO"/>
        </w:rPr>
        <w:t>s</w:t>
      </w:r>
      <w:r w:rsidR="00C90C00" w:rsidRPr="00737B5F">
        <w:rPr>
          <w:rFonts w:ascii="Arial" w:hAnsi="Arial" w:cs="Arial"/>
          <w:b/>
          <w:sz w:val="20"/>
          <w:szCs w:val="20"/>
          <w:lang w:val="es-CO"/>
        </w:rPr>
        <w:t>iniestralidad</w:t>
      </w:r>
    </w:p>
    <w:p w14:paraId="4885E7CD" w14:textId="77777777" w:rsidR="004C2E37" w:rsidRDefault="004C2E37" w:rsidP="004C2E37">
      <w:pPr>
        <w:jc w:val="both"/>
        <w:rPr>
          <w:rFonts w:ascii="Arial" w:hAnsi="Arial" w:cs="Arial"/>
          <w:b/>
          <w:sz w:val="20"/>
          <w:szCs w:val="20"/>
          <w:lang w:val="es-CO"/>
        </w:rPr>
      </w:pPr>
    </w:p>
    <w:p w14:paraId="08AC25E3" w14:textId="769BF60C" w:rsidR="00410309" w:rsidRDefault="00411DFF" w:rsidP="005B103D">
      <w:pPr>
        <w:jc w:val="both"/>
        <w:rPr>
          <w:rFonts w:ascii="Arial" w:hAnsi="Arial" w:cs="Arial"/>
          <w:bCs/>
          <w:sz w:val="20"/>
          <w:szCs w:val="20"/>
          <w:lang w:val="es-ES_tradnl"/>
        </w:rPr>
      </w:pPr>
      <w:r>
        <w:rPr>
          <w:rFonts w:ascii="Arial" w:hAnsi="Arial" w:cs="Arial"/>
          <w:bCs/>
          <w:sz w:val="20"/>
          <w:szCs w:val="20"/>
        </w:rPr>
        <w:t>En desarrollo de lo previsto en el artículo 2.31.4.5.1. del Decreto 2555 de 2010, para el ramo de riesgos laborales l</w:t>
      </w:r>
      <w:r w:rsidRPr="00411DFF">
        <w:rPr>
          <w:rFonts w:ascii="Arial" w:hAnsi="Arial" w:cs="Arial"/>
          <w:bCs/>
          <w:sz w:val="20"/>
          <w:szCs w:val="20"/>
          <w:lang w:val="es-ES_tradnl"/>
        </w:rPr>
        <w:t xml:space="preserve">as entidades aseguradoras deben calcular la reserva de desviación de siniestralidad </w:t>
      </w:r>
      <w:r w:rsidR="00196CB8">
        <w:rPr>
          <w:rFonts w:ascii="Arial" w:hAnsi="Arial" w:cs="Arial"/>
          <w:bCs/>
          <w:sz w:val="20"/>
          <w:szCs w:val="20"/>
          <w:lang w:val="es-ES_tradnl"/>
        </w:rPr>
        <w:t xml:space="preserve">de acuerdo con </w:t>
      </w:r>
      <w:r w:rsidR="00B25132">
        <w:rPr>
          <w:rFonts w:ascii="Arial" w:hAnsi="Arial" w:cs="Arial"/>
          <w:bCs/>
          <w:sz w:val="20"/>
          <w:szCs w:val="20"/>
          <w:lang w:val="es-ES_tradnl"/>
        </w:rPr>
        <w:t>las instrucciones d</w:t>
      </w:r>
      <w:r w:rsidR="00196CB8">
        <w:rPr>
          <w:rFonts w:ascii="Arial" w:hAnsi="Arial" w:cs="Arial"/>
          <w:bCs/>
          <w:sz w:val="20"/>
          <w:szCs w:val="20"/>
          <w:lang w:val="es-ES_tradnl"/>
        </w:rPr>
        <w:t xml:space="preserve">el </w:t>
      </w:r>
      <w:r w:rsidR="00196CB8" w:rsidRPr="00F32471">
        <w:rPr>
          <w:rFonts w:ascii="Arial" w:hAnsi="Arial" w:cs="Arial"/>
          <w:bCs/>
          <w:sz w:val="20"/>
          <w:szCs w:val="20"/>
          <w:lang w:val="es-ES_tradnl"/>
        </w:rPr>
        <w:t xml:space="preserve">anexo </w:t>
      </w:r>
      <w:r w:rsidR="00F45562" w:rsidRPr="00F32471">
        <w:rPr>
          <w:rFonts w:ascii="Arial" w:hAnsi="Arial" w:cs="Arial"/>
          <w:bCs/>
          <w:sz w:val="20"/>
          <w:szCs w:val="20"/>
          <w:lang w:val="es-ES_tradnl"/>
        </w:rPr>
        <w:t>4</w:t>
      </w:r>
      <w:r w:rsidR="00C66374" w:rsidRPr="00F32471">
        <w:rPr>
          <w:rFonts w:ascii="Arial" w:hAnsi="Arial" w:cs="Arial"/>
          <w:bCs/>
          <w:sz w:val="20"/>
          <w:szCs w:val="20"/>
          <w:lang w:val="es-ES_tradnl"/>
        </w:rPr>
        <w:t xml:space="preserve"> del presente </w:t>
      </w:r>
      <w:r w:rsidR="006255A5" w:rsidRPr="00F32471">
        <w:rPr>
          <w:rFonts w:ascii="Arial" w:hAnsi="Arial" w:cs="Arial"/>
          <w:bCs/>
          <w:sz w:val="20"/>
          <w:szCs w:val="20"/>
          <w:lang w:val="es-ES_tradnl"/>
        </w:rPr>
        <w:t>capítulo</w:t>
      </w:r>
      <w:r w:rsidR="007355C7">
        <w:rPr>
          <w:rFonts w:ascii="Arial" w:hAnsi="Arial" w:cs="Arial"/>
          <w:bCs/>
          <w:sz w:val="20"/>
          <w:szCs w:val="20"/>
          <w:lang w:val="es-ES_tradnl"/>
        </w:rPr>
        <w:t>, d</w:t>
      </w:r>
      <w:r w:rsidRPr="00411DFF">
        <w:rPr>
          <w:rFonts w:ascii="Arial" w:hAnsi="Arial" w:cs="Arial"/>
          <w:bCs/>
          <w:sz w:val="20"/>
          <w:szCs w:val="20"/>
          <w:lang w:val="es-ES_tradnl"/>
        </w:rPr>
        <w:t>entro del mes siguiente a la suscripción o renovación del programa de reaseguro</w:t>
      </w:r>
      <w:r w:rsidR="007355C7">
        <w:rPr>
          <w:rFonts w:ascii="Arial" w:hAnsi="Arial" w:cs="Arial"/>
          <w:bCs/>
          <w:sz w:val="20"/>
          <w:szCs w:val="20"/>
          <w:lang w:val="es-ES_tradnl"/>
        </w:rPr>
        <w:t>. En todo caso</w:t>
      </w:r>
      <w:r w:rsidR="00552748">
        <w:rPr>
          <w:rFonts w:ascii="Arial" w:hAnsi="Arial" w:cs="Arial"/>
          <w:bCs/>
          <w:sz w:val="20"/>
          <w:szCs w:val="20"/>
          <w:lang w:val="es-ES_tradnl"/>
        </w:rPr>
        <w:t xml:space="preserve">, el monto de esta reserva se debe recalcular con </w:t>
      </w:r>
      <w:r w:rsidR="000E1D2D">
        <w:rPr>
          <w:rFonts w:ascii="Arial" w:hAnsi="Arial" w:cs="Arial"/>
          <w:bCs/>
          <w:sz w:val="20"/>
          <w:szCs w:val="20"/>
          <w:lang w:val="es-ES_tradnl"/>
        </w:rPr>
        <w:t xml:space="preserve">una </w:t>
      </w:r>
      <w:r w:rsidR="00815067">
        <w:rPr>
          <w:rFonts w:ascii="Arial" w:hAnsi="Arial" w:cs="Arial"/>
          <w:bCs/>
          <w:sz w:val="20"/>
          <w:szCs w:val="20"/>
          <w:lang w:val="es-ES_tradnl"/>
        </w:rPr>
        <w:t>periodicidad</w:t>
      </w:r>
      <w:r w:rsidR="000E1D2D">
        <w:rPr>
          <w:rFonts w:ascii="Arial" w:hAnsi="Arial" w:cs="Arial"/>
          <w:bCs/>
          <w:sz w:val="20"/>
          <w:szCs w:val="20"/>
          <w:lang w:val="es-ES_tradnl"/>
        </w:rPr>
        <w:t xml:space="preserve"> </w:t>
      </w:r>
      <w:r w:rsidR="00C3772E">
        <w:rPr>
          <w:rFonts w:ascii="Arial" w:hAnsi="Arial" w:cs="Arial"/>
          <w:bCs/>
          <w:sz w:val="20"/>
          <w:szCs w:val="20"/>
          <w:lang w:val="es-ES_tradnl"/>
        </w:rPr>
        <w:t>semestral</w:t>
      </w:r>
      <w:r w:rsidR="00410309">
        <w:rPr>
          <w:rFonts w:ascii="Arial" w:hAnsi="Arial" w:cs="Arial"/>
          <w:bCs/>
          <w:sz w:val="20"/>
          <w:szCs w:val="20"/>
          <w:lang w:val="es-ES_tradnl"/>
        </w:rPr>
        <w:t xml:space="preserve">, </w:t>
      </w:r>
      <w:r w:rsidR="0080292F">
        <w:rPr>
          <w:rFonts w:ascii="Arial" w:hAnsi="Arial" w:cs="Arial"/>
          <w:bCs/>
          <w:sz w:val="20"/>
          <w:szCs w:val="20"/>
          <w:lang w:val="es-ES_tradnl"/>
        </w:rPr>
        <w:t xml:space="preserve">o con una periodicidad inferior cuando la entidad aseguradora </w:t>
      </w:r>
      <w:r w:rsidR="00AA0450">
        <w:rPr>
          <w:rFonts w:ascii="Arial" w:hAnsi="Arial" w:cs="Arial"/>
          <w:bCs/>
          <w:sz w:val="20"/>
          <w:szCs w:val="20"/>
          <w:lang w:val="es-ES_tradnl"/>
        </w:rPr>
        <w:t xml:space="preserve">lo estime necesario </w:t>
      </w:r>
      <w:r w:rsidR="0080292F">
        <w:rPr>
          <w:rFonts w:ascii="Arial" w:hAnsi="Arial" w:cs="Arial"/>
          <w:bCs/>
          <w:sz w:val="20"/>
          <w:szCs w:val="20"/>
          <w:lang w:val="es-ES_tradnl"/>
        </w:rPr>
        <w:t xml:space="preserve">o </w:t>
      </w:r>
      <w:r w:rsidR="00AA0450">
        <w:rPr>
          <w:rFonts w:ascii="Arial" w:hAnsi="Arial" w:cs="Arial"/>
          <w:bCs/>
          <w:sz w:val="20"/>
          <w:szCs w:val="20"/>
          <w:lang w:val="es-ES_tradnl"/>
        </w:rPr>
        <w:t xml:space="preserve">cuando </w:t>
      </w:r>
      <w:r w:rsidR="0080292F">
        <w:rPr>
          <w:rFonts w:ascii="Arial" w:hAnsi="Arial" w:cs="Arial"/>
          <w:bCs/>
          <w:sz w:val="20"/>
          <w:szCs w:val="20"/>
          <w:lang w:val="es-ES_tradnl"/>
        </w:rPr>
        <w:t>la SFC</w:t>
      </w:r>
      <w:r w:rsidR="00AA0450">
        <w:rPr>
          <w:rFonts w:ascii="Arial" w:hAnsi="Arial" w:cs="Arial"/>
          <w:bCs/>
          <w:sz w:val="20"/>
          <w:szCs w:val="20"/>
          <w:lang w:val="es-ES_tradnl"/>
        </w:rPr>
        <w:t xml:space="preserve"> lo requiera. </w:t>
      </w:r>
    </w:p>
    <w:p w14:paraId="6D90C2EA" w14:textId="77777777" w:rsidR="00410309" w:rsidRDefault="00410309" w:rsidP="005B103D">
      <w:pPr>
        <w:jc w:val="both"/>
        <w:rPr>
          <w:rFonts w:ascii="Arial" w:hAnsi="Arial" w:cs="Arial"/>
          <w:bCs/>
          <w:sz w:val="20"/>
          <w:szCs w:val="20"/>
          <w:lang w:val="es-ES_tradnl"/>
        </w:rPr>
      </w:pPr>
    </w:p>
    <w:p w14:paraId="2ED689D5" w14:textId="77777777" w:rsidR="00C833E8" w:rsidRDefault="00411DFF" w:rsidP="005B103D">
      <w:pPr>
        <w:jc w:val="both"/>
        <w:rPr>
          <w:rFonts w:ascii="Arial" w:hAnsi="Arial" w:cs="Arial"/>
          <w:bCs/>
          <w:sz w:val="20"/>
          <w:szCs w:val="20"/>
          <w:lang w:val="es-ES_tradnl"/>
        </w:rPr>
      </w:pPr>
      <w:r w:rsidRPr="00411DFF">
        <w:rPr>
          <w:rFonts w:ascii="Arial" w:hAnsi="Arial" w:cs="Arial"/>
          <w:bCs/>
          <w:sz w:val="20"/>
          <w:szCs w:val="20"/>
          <w:lang w:val="es-ES_tradnl"/>
        </w:rPr>
        <w:t>Cuando se presente un cambio súbito y sustancial en la composición de la cartera y/o su siniestralidad, las entidades aseguradoras debe</w:t>
      </w:r>
      <w:r w:rsidR="00A07F32">
        <w:rPr>
          <w:rFonts w:ascii="Arial" w:hAnsi="Arial" w:cs="Arial"/>
          <w:bCs/>
          <w:sz w:val="20"/>
          <w:szCs w:val="20"/>
          <w:lang w:val="es-ES_tradnl"/>
        </w:rPr>
        <w:t>n</w:t>
      </w:r>
      <w:r w:rsidRPr="00411DFF">
        <w:rPr>
          <w:rFonts w:ascii="Arial" w:hAnsi="Arial" w:cs="Arial"/>
          <w:bCs/>
          <w:sz w:val="20"/>
          <w:szCs w:val="20"/>
          <w:lang w:val="es-ES_tradnl"/>
        </w:rPr>
        <w:t xml:space="preserve"> calcular nuevamente la reserva en un plazo prudente que no exceda los 15 días siguientes a la fecha en la cual se conoció el cambio. </w:t>
      </w:r>
    </w:p>
    <w:p w14:paraId="7BEEC8E6" w14:textId="77777777" w:rsidR="00C833E8" w:rsidRDefault="00C833E8" w:rsidP="005B103D">
      <w:pPr>
        <w:jc w:val="both"/>
        <w:rPr>
          <w:rFonts w:ascii="Arial" w:hAnsi="Arial" w:cs="Arial"/>
          <w:bCs/>
          <w:sz w:val="20"/>
          <w:szCs w:val="20"/>
          <w:lang w:val="es-ES_tradnl"/>
        </w:rPr>
      </w:pPr>
    </w:p>
    <w:p w14:paraId="1392F168" w14:textId="77726DE4" w:rsidR="00411DFF" w:rsidRPr="00411DFF" w:rsidRDefault="00411DFF" w:rsidP="005B103D">
      <w:pPr>
        <w:jc w:val="both"/>
        <w:rPr>
          <w:rFonts w:ascii="Arial" w:hAnsi="Arial" w:cs="Arial"/>
          <w:bCs/>
          <w:sz w:val="20"/>
          <w:szCs w:val="20"/>
          <w:lang w:val="es-ES_tradnl"/>
        </w:rPr>
      </w:pPr>
      <w:r w:rsidRPr="00411DFF">
        <w:rPr>
          <w:rFonts w:ascii="Arial" w:hAnsi="Arial" w:cs="Arial"/>
          <w:bCs/>
          <w:sz w:val="20"/>
          <w:szCs w:val="20"/>
          <w:lang w:val="es-ES_tradnl"/>
        </w:rPr>
        <w:t>En caso de que deban ajustarse las condiciones del programa de reaseguro por cambios en la composición de la cartera durante la vigencia de los contratos de reaseguro, la entidad aseguradora debe calcular nuevamente la reserva de desviación de siniestralidad dentro del mes siguiente al ajuste del programa de reaseguro.</w:t>
      </w:r>
    </w:p>
    <w:p w14:paraId="7EE481ED" w14:textId="77777777" w:rsidR="00411DFF" w:rsidRDefault="00411DFF" w:rsidP="005B103D">
      <w:pPr>
        <w:jc w:val="both"/>
        <w:rPr>
          <w:rFonts w:ascii="Arial" w:hAnsi="Arial" w:cs="Arial"/>
          <w:bCs/>
          <w:sz w:val="20"/>
          <w:szCs w:val="20"/>
        </w:rPr>
      </w:pPr>
    </w:p>
    <w:p w14:paraId="7E370F44" w14:textId="0F7120F5" w:rsidR="004C2E37" w:rsidRDefault="005B103D" w:rsidP="004C2E37">
      <w:pPr>
        <w:jc w:val="both"/>
        <w:rPr>
          <w:rFonts w:ascii="Arial" w:hAnsi="Arial" w:cs="Arial"/>
          <w:b/>
          <w:sz w:val="20"/>
          <w:szCs w:val="20"/>
          <w:lang w:val="es-CO"/>
        </w:rPr>
      </w:pPr>
      <w:r w:rsidRPr="005B103D">
        <w:rPr>
          <w:rFonts w:ascii="Arial" w:hAnsi="Arial" w:cs="Arial"/>
          <w:bCs/>
          <w:sz w:val="20"/>
          <w:szCs w:val="20"/>
        </w:rPr>
        <w:t>Para la determinación de</w:t>
      </w:r>
      <w:r w:rsidR="005E2D0C">
        <w:rPr>
          <w:rFonts w:ascii="Arial" w:hAnsi="Arial" w:cs="Arial"/>
          <w:bCs/>
          <w:sz w:val="20"/>
          <w:szCs w:val="20"/>
        </w:rPr>
        <w:t>l monto de</w:t>
      </w:r>
      <w:r w:rsidRPr="005B103D">
        <w:rPr>
          <w:rFonts w:ascii="Arial" w:hAnsi="Arial" w:cs="Arial"/>
          <w:bCs/>
          <w:sz w:val="20"/>
          <w:szCs w:val="20"/>
        </w:rPr>
        <w:t xml:space="preserve"> la reserva de desviación de siniestralidad</w:t>
      </w:r>
      <w:r w:rsidR="005E2D0C">
        <w:rPr>
          <w:rFonts w:ascii="Arial" w:hAnsi="Arial" w:cs="Arial"/>
          <w:bCs/>
          <w:sz w:val="20"/>
          <w:szCs w:val="20"/>
        </w:rPr>
        <w:t xml:space="preserve">, </w:t>
      </w:r>
      <w:r w:rsidR="00CD08C8">
        <w:rPr>
          <w:rFonts w:ascii="Arial" w:hAnsi="Arial" w:cs="Arial"/>
          <w:bCs/>
          <w:sz w:val="20"/>
          <w:szCs w:val="20"/>
        </w:rPr>
        <w:t xml:space="preserve">las entidades deben dar aplicación a la metodología prevista en el </w:t>
      </w:r>
      <w:r w:rsidR="00CD08C8" w:rsidRPr="00DB7373">
        <w:rPr>
          <w:rFonts w:ascii="Arial" w:hAnsi="Arial" w:cs="Arial"/>
          <w:bCs/>
          <w:sz w:val="20"/>
          <w:szCs w:val="20"/>
          <w:lang w:val="es-ES_tradnl"/>
        </w:rPr>
        <w:t xml:space="preserve">anexo </w:t>
      </w:r>
      <w:r w:rsidR="00427748" w:rsidRPr="00DB7373">
        <w:rPr>
          <w:rFonts w:ascii="Arial" w:hAnsi="Arial" w:cs="Arial"/>
          <w:bCs/>
          <w:sz w:val="20"/>
          <w:szCs w:val="20"/>
          <w:lang w:val="es-ES_tradnl"/>
        </w:rPr>
        <w:t>4</w:t>
      </w:r>
      <w:r w:rsidR="00CD08C8" w:rsidRPr="00DB7373">
        <w:rPr>
          <w:rFonts w:ascii="Arial" w:hAnsi="Arial" w:cs="Arial"/>
          <w:bCs/>
          <w:sz w:val="20"/>
          <w:szCs w:val="20"/>
          <w:lang w:val="es-ES_tradnl"/>
        </w:rPr>
        <w:t xml:space="preserve"> del presente capítulo</w:t>
      </w:r>
      <w:r w:rsidR="00B37F4B">
        <w:rPr>
          <w:rFonts w:ascii="Arial" w:hAnsi="Arial" w:cs="Arial"/>
          <w:bCs/>
          <w:sz w:val="20"/>
          <w:szCs w:val="20"/>
          <w:lang w:val="es-ES_tradnl"/>
        </w:rPr>
        <w:t xml:space="preserve">, así como definir </w:t>
      </w:r>
      <w:r w:rsidR="006614D8">
        <w:rPr>
          <w:rFonts w:ascii="Arial" w:hAnsi="Arial" w:cs="Arial"/>
          <w:bCs/>
          <w:sz w:val="20"/>
          <w:szCs w:val="20"/>
          <w:lang w:val="es-ES_tradnl"/>
        </w:rPr>
        <w:t xml:space="preserve">parámetros para su </w:t>
      </w:r>
      <w:r w:rsidR="00DC46F2">
        <w:rPr>
          <w:rFonts w:ascii="Arial" w:hAnsi="Arial" w:cs="Arial"/>
          <w:bCs/>
          <w:sz w:val="20"/>
          <w:szCs w:val="20"/>
          <w:lang w:val="es-ES_tradnl"/>
        </w:rPr>
        <w:t>aplicación</w:t>
      </w:r>
      <w:r w:rsidR="006614D8">
        <w:rPr>
          <w:rFonts w:ascii="Arial" w:hAnsi="Arial" w:cs="Arial"/>
          <w:bCs/>
          <w:sz w:val="20"/>
          <w:szCs w:val="20"/>
          <w:lang w:val="es-ES_tradnl"/>
        </w:rPr>
        <w:t>,</w:t>
      </w:r>
      <w:r w:rsidR="008A1522">
        <w:rPr>
          <w:rFonts w:ascii="Arial" w:hAnsi="Arial" w:cs="Arial"/>
          <w:bCs/>
          <w:sz w:val="20"/>
          <w:szCs w:val="20"/>
          <w:lang w:val="es-ES_tradnl"/>
        </w:rPr>
        <w:t xml:space="preserve"> lo</w:t>
      </w:r>
      <w:r w:rsidR="006614D8">
        <w:rPr>
          <w:rFonts w:ascii="Arial" w:hAnsi="Arial" w:cs="Arial"/>
          <w:bCs/>
          <w:sz w:val="20"/>
          <w:szCs w:val="20"/>
          <w:lang w:val="es-ES_tradnl"/>
        </w:rPr>
        <w:t xml:space="preserve"> cual</w:t>
      </w:r>
      <w:r w:rsidR="008A1522">
        <w:rPr>
          <w:rFonts w:ascii="Arial" w:hAnsi="Arial" w:cs="Arial"/>
          <w:bCs/>
          <w:sz w:val="20"/>
          <w:szCs w:val="20"/>
          <w:lang w:val="es-ES_tradnl"/>
        </w:rPr>
        <w:t xml:space="preserve"> </w:t>
      </w:r>
      <w:r w:rsidR="006614D8">
        <w:rPr>
          <w:rFonts w:ascii="Arial" w:hAnsi="Arial" w:cs="Arial"/>
          <w:bCs/>
          <w:sz w:val="20"/>
          <w:szCs w:val="20"/>
          <w:lang w:val="es-ES_tradnl"/>
        </w:rPr>
        <w:t>debe</w:t>
      </w:r>
      <w:r w:rsidR="008A1522">
        <w:rPr>
          <w:rFonts w:ascii="Arial" w:hAnsi="Arial" w:cs="Arial"/>
          <w:bCs/>
          <w:sz w:val="20"/>
          <w:szCs w:val="20"/>
          <w:lang w:val="es-ES_tradnl"/>
        </w:rPr>
        <w:t xml:space="preserve"> </w:t>
      </w:r>
      <w:r w:rsidRPr="005B103D">
        <w:rPr>
          <w:rFonts w:ascii="Arial" w:hAnsi="Arial" w:cs="Arial"/>
          <w:bCs/>
          <w:sz w:val="20"/>
          <w:szCs w:val="20"/>
        </w:rPr>
        <w:t xml:space="preserve">constar en la nota técnica y </w:t>
      </w:r>
      <w:r w:rsidR="00BB42A9">
        <w:rPr>
          <w:rFonts w:ascii="Arial" w:hAnsi="Arial" w:cs="Arial"/>
          <w:bCs/>
          <w:sz w:val="20"/>
          <w:szCs w:val="20"/>
        </w:rPr>
        <w:t xml:space="preserve">contar con un análisis </w:t>
      </w:r>
      <w:r w:rsidRPr="005B103D">
        <w:rPr>
          <w:rFonts w:ascii="Arial" w:hAnsi="Arial" w:cs="Arial"/>
          <w:bCs/>
          <w:sz w:val="20"/>
          <w:szCs w:val="20"/>
        </w:rPr>
        <w:t>por</w:t>
      </w:r>
      <w:r w:rsidR="006B174F">
        <w:rPr>
          <w:rFonts w:ascii="Arial" w:hAnsi="Arial" w:cs="Arial"/>
          <w:bCs/>
          <w:sz w:val="20"/>
          <w:szCs w:val="20"/>
        </w:rPr>
        <w:t xml:space="preserve"> parte</w:t>
      </w:r>
      <w:r w:rsidRPr="005B103D">
        <w:rPr>
          <w:rFonts w:ascii="Arial" w:hAnsi="Arial" w:cs="Arial"/>
          <w:bCs/>
          <w:sz w:val="20"/>
          <w:szCs w:val="20"/>
        </w:rPr>
        <w:t xml:space="preserve"> </w:t>
      </w:r>
      <w:r w:rsidR="006B174F">
        <w:rPr>
          <w:rFonts w:ascii="Arial" w:hAnsi="Arial" w:cs="Arial"/>
          <w:bCs/>
          <w:sz w:val="20"/>
          <w:szCs w:val="20"/>
        </w:rPr>
        <w:t>d</w:t>
      </w:r>
      <w:r w:rsidRPr="005B103D">
        <w:rPr>
          <w:rFonts w:ascii="Arial" w:hAnsi="Arial" w:cs="Arial"/>
          <w:bCs/>
          <w:sz w:val="20"/>
          <w:szCs w:val="20"/>
        </w:rPr>
        <w:t xml:space="preserve">el </w:t>
      </w:r>
      <w:r w:rsidR="00F42330">
        <w:rPr>
          <w:rFonts w:ascii="Arial" w:hAnsi="Arial" w:cs="Arial"/>
          <w:bCs/>
          <w:sz w:val="20"/>
          <w:szCs w:val="20"/>
        </w:rPr>
        <w:t>a</w:t>
      </w:r>
      <w:r w:rsidRPr="005B103D">
        <w:rPr>
          <w:rFonts w:ascii="Arial" w:hAnsi="Arial" w:cs="Arial"/>
          <w:bCs/>
          <w:sz w:val="20"/>
          <w:szCs w:val="20"/>
        </w:rPr>
        <w:t xml:space="preserve">ctuario </w:t>
      </w:r>
      <w:r w:rsidR="00F42330">
        <w:rPr>
          <w:rFonts w:ascii="Arial" w:hAnsi="Arial" w:cs="Arial"/>
          <w:bCs/>
          <w:sz w:val="20"/>
          <w:szCs w:val="20"/>
        </w:rPr>
        <w:t>r</w:t>
      </w:r>
      <w:r w:rsidRPr="005B103D">
        <w:rPr>
          <w:rFonts w:ascii="Arial" w:hAnsi="Arial" w:cs="Arial"/>
          <w:bCs/>
          <w:sz w:val="20"/>
          <w:szCs w:val="20"/>
        </w:rPr>
        <w:t xml:space="preserve">esponsable conforme a lo establecido en el </w:t>
      </w:r>
      <w:r w:rsidRPr="00DB7373">
        <w:rPr>
          <w:rFonts w:ascii="Arial" w:hAnsi="Arial" w:cs="Arial"/>
          <w:bCs/>
          <w:sz w:val="20"/>
          <w:szCs w:val="20"/>
        </w:rPr>
        <w:t xml:space="preserve">numeral </w:t>
      </w:r>
      <w:r w:rsidR="0025353F" w:rsidRPr="00DB7373">
        <w:rPr>
          <w:rFonts w:ascii="Arial" w:hAnsi="Arial" w:cs="Arial"/>
          <w:bCs/>
          <w:sz w:val="20"/>
          <w:szCs w:val="20"/>
        </w:rPr>
        <w:t>6</w:t>
      </w:r>
      <w:r w:rsidRPr="00DB7373">
        <w:rPr>
          <w:rFonts w:ascii="Arial" w:hAnsi="Arial" w:cs="Arial"/>
          <w:bCs/>
          <w:sz w:val="20"/>
          <w:szCs w:val="20"/>
        </w:rPr>
        <w:t xml:space="preserve"> del presente </w:t>
      </w:r>
      <w:r w:rsidR="00F42330" w:rsidRPr="00DB7373">
        <w:rPr>
          <w:rFonts w:ascii="Arial" w:hAnsi="Arial" w:cs="Arial"/>
          <w:bCs/>
          <w:sz w:val="20"/>
          <w:szCs w:val="20"/>
        </w:rPr>
        <w:t>c</w:t>
      </w:r>
      <w:r w:rsidRPr="00DB7373">
        <w:rPr>
          <w:rFonts w:ascii="Arial" w:hAnsi="Arial" w:cs="Arial"/>
          <w:bCs/>
          <w:sz w:val="20"/>
          <w:szCs w:val="20"/>
        </w:rPr>
        <w:t>apítulo</w:t>
      </w:r>
      <w:r w:rsidRPr="005B103D">
        <w:rPr>
          <w:rFonts w:ascii="Arial" w:hAnsi="Arial" w:cs="Arial"/>
          <w:bCs/>
          <w:sz w:val="20"/>
          <w:szCs w:val="20"/>
        </w:rPr>
        <w:t xml:space="preserve">. </w:t>
      </w:r>
    </w:p>
    <w:p w14:paraId="54E722FE" w14:textId="77777777" w:rsidR="004C2E37" w:rsidRPr="004C2E37" w:rsidRDefault="004C2E37" w:rsidP="004C2E37">
      <w:pPr>
        <w:jc w:val="both"/>
        <w:rPr>
          <w:rFonts w:ascii="Arial" w:hAnsi="Arial" w:cs="Arial"/>
          <w:b/>
          <w:sz w:val="20"/>
          <w:szCs w:val="20"/>
          <w:lang w:val="es-CO"/>
        </w:rPr>
      </w:pPr>
    </w:p>
    <w:p w14:paraId="658E9207" w14:textId="3A71357A" w:rsidR="00C90C00" w:rsidRPr="0032073D" w:rsidRDefault="00C90C00" w:rsidP="00BE2CFC">
      <w:pPr>
        <w:pStyle w:val="Prrafodelista"/>
        <w:numPr>
          <w:ilvl w:val="1"/>
          <w:numId w:val="7"/>
        </w:numPr>
        <w:ind w:left="851" w:hanging="851"/>
        <w:jc w:val="both"/>
        <w:rPr>
          <w:rFonts w:ascii="Arial" w:hAnsi="Arial" w:cs="Arial"/>
          <w:b/>
          <w:sz w:val="20"/>
          <w:szCs w:val="20"/>
          <w:lang w:val="es-CO"/>
        </w:rPr>
      </w:pPr>
      <w:r w:rsidRPr="0032073D">
        <w:rPr>
          <w:rFonts w:ascii="Arial" w:hAnsi="Arial" w:cs="Arial"/>
          <w:b/>
          <w:sz w:val="20"/>
          <w:szCs w:val="20"/>
          <w:lang w:val="es-CO"/>
        </w:rPr>
        <w:t xml:space="preserve">Reserva de </w:t>
      </w:r>
      <w:r w:rsidR="00FE61AA" w:rsidRPr="0032073D">
        <w:rPr>
          <w:rFonts w:ascii="Arial" w:hAnsi="Arial" w:cs="Arial"/>
          <w:b/>
          <w:sz w:val="20"/>
          <w:szCs w:val="20"/>
          <w:lang w:val="es-CO"/>
        </w:rPr>
        <w:t>r</w:t>
      </w:r>
      <w:r w:rsidRPr="0032073D">
        <w:rPr>
          <w:rFonts w:ascii="Arial" w:hAnsi="Arial" w:cs="Arial"/>
          <w:b/>
          <w:sz w:val="20"/>
          <w:szCs w:val="20"/>
          <w:lang w:val="es-CO"/>
        </w:rPr>
        <w:t xml:space="preserve">iesgos </w:t>
      </w:r>
      <w:r w:rsidR="00EB388C" w:rsidRPr="0032073D">
        <w:rPr>
          <w:rFonts w:ascii="Arial" w:hAnsi="Arial" w:cs="Arial"/>
          <w:b/>
          <w:sz w:val="20"/>
          <w:szCs w:val="20"/>
          <w:lang w:val="es-CO"/>
        </w:rPr>
        <w:t>c</w:t>
      </w:r>
      <w:r w:rsidRPr="0032073D">
        <w:rPr>
          <w:rFonts w:ascii="Arial" w:hAnsi="Arial" w:cs="Arial"/>
          <w:b/>
          <w:sz w:val="20"/>
          <w:szCs w:val="20"/>
          <w:lang w:val="es-CO"/>
        </w:rPr>
        <w:t>atastróficos</w:t>
      </w:r>
    </w:p>
    <w:p w14:paraId="0A886EC0" w14:textId="77777777" w:rsidR="00C90C00" w:rsidRDefault="00C90C00" w:rsidP="00C90C00">
      <w:pPr>
        <w:jc w:val="both"/>
        <w:rPr>
          <w:rFonts w:ascii="Arial" w:hAnsi="Arial" w:cs="Arial"/>
          <w:bCs/>
          <w:sz w:val="20"/>
          <w:szCs w:val="20"/>
          <w:lang w:val="es-CO"/>
        </w:rPr>
      </w:pPr>
    </w:p>
    <w:p w14:paraId="3CABA5C9" w14:textId="1D262D08" w:rsidR="001444E0" w:rsidRDefault="00464B39" w:rsidP="001444E0">
      <w:pPr>
        <w:jc w:val="both"/>
        <w:rPr>
          <w:rFonts w:ascii="Arial" w:hAnsi="Arial" w:cs="Arial"/>
          <w:bCs/>
          <w:sz w:val="20"/>
          <w:szCs w:val="20"/>
          <w:lang w:val="es-CO"/>
        </w:rPr>
      </w:pPr>
      <w:r>
        <w:rPr>
          <w:rFonts w:ascii="Arial" w:hAnsi="Arial" w:cs="Arial"/>
          <w:bCs/>
          <w:sz w:val="20"/>
          <w:szCs w:val="20"/>
          <w:lang w:val="es-CO"/>
        </w:rPr>
        <w:t>De acuerdo con el artículo 2.31.5.1.</w:t>
      </w:r>
      <w:r w:rsidR="00A20BE8">
        <w:rPr>
          <w:rFonts w:ascii="Arial" w:hAnsi="Arial" w:cs="Arial"/>
          <w:bCs/>
          <w:sz w:val="20"/>
          <w:szCs w:val="20"/>
          <w:lang w:val="es-CO"/>
        </w:rPr>
        <w:t>3</w:t>
      </w:r>
      <w:r>
        <w:rPr>
          <w:rFonts w:ascii="Arial" w:hAnsi="Arial" w:cs="Arial"/>
          <w:bCs/>
          <w:sz w:val="20"/>
          <w:szCs w:val="20"/>
          <w:lang w:val="es-CO"/>
        </w:rPr>
        <w:t xml:space="preserve">. del Decreto 2555 de 2010, </w:t>
      </w:r>
      <w:r w:rsidR="001444E0">
        <w:rPr>
          <w:rFonts w:ascii="Arial" w:hAnsi="Arial" w:cs="Arial"/>
          <w:bCs/>
          <w:sz w:val="20"/>
          <w:szCs w:val="20"/>
          <w:lang w:val="es-CO"/>
        </w:rPr>
        <w:t>la</w:t>
      </w:r>
      <w:r w:rsidR="001444E0" w:rsidRPr="001444E0">
        <w:rPr>
          <w:rFonts w:ascii="Arial" w:hAnsi="Arial" w:cs="Arial"/>
          <w:bCs/>
          <w:sz w:val="20"/>
          <w:szCs w:val="20"/>
        </w:rPr>
        <w:t xml:space="preserve"> reserva de riesgos catastróficos del seguro de terremoto se </w:t>
      </w:r>
      <w:r w:rsidR="006E1B9D">
        <w:rPr>
          <w:rFonts w:ascii="Arial" w:hAnsi="Arial" w:cs="Arial"/>
          <w:bCs/>
          <w:sz w:val="20"/>
          <w:szCs w:val="20"/>
        </w:rPr>
        <w:t xml:space="preserve">debe </w:t>
      </w:r>
      <w:r w:rsidR="001444E0" w:rsidRPr="001444E0">
        <w:rPr>
          <w:rFonts w:ascii="Arial" w:hAnsi="Arial" w:cs="Arial"/>
          <w:bCs/>
          <w:sz w:val="20"/>
          <w:szCs w:val="20"/>
        </w:rPr>
        <w:t>constitui</w:t>
      </w:r>
      <w:r w:rsidR="006E1B9D">
        <w:rPr>
          <w:rFonts w:ascii="Arial" w:hAnsi="Arial" w:cs="Arial"/>
          <w:bCs/>
          <w:sz w:val="20"/>
          <w:szCs w:val="20"/>
        </w:rPr>
        <w:t xml:space="preserve">r </w:t>
      </w:r>
      <w:r w:rsidR="001444E0" w:rsidRPr="001444E0">
        <w:rPr>
          <w:rFonts w:ascii="Arial" w:hAnsi="Arial" w:cs="Arial"/>
          <w:bCs/>
          <w:sz w:val="20"/>
          <w:szCs w:val="20"/>
        </w:rPr>
        <w:t xml:space="preserve">con los recursos liberados de la reserva de riesgos en curso </w:t>
      </w:r>
      <w:r w:rsidR="00835DBA">
        <w:rPr>
          <w:rFonts w:ascii="Arial" w:hAnsi="Arial" w:cs="Arial"/>
          <w:bCs/>
          <w:sz w:val="20"/>
          <w:szCs w:val="20"/>
        </w:rPr>
        <w:t>de que trata el numeral 5.1.3. del presente capítulo</w:t>
      </w:r>
      <w:r w:rsidR="006B6E31">
        <w:rPr>
          <w:rFonts w:ascii="Arial" w:hAnsi="Arial" w:cs="Arial"/>
          <w:bCs/>
          <w:sz w:val="20"/>
          <w:szCs w:val="20"/>
        </w:rPr>
        <w:t>.</w:t>
      </w:r>
      <w:r w:rsidR="00F239FC">
        <w:rPr>
          <w:rFonts w:ascii="Arial" w:hAnsi="Arial" w:cs="Arial"/>
          <w:bCs/>
          <w:sz w:val="20"/>
          <w:szCs w:val="20"/>
        </w:rPr>
        <w:t xml:space="preserve"> Esta </w:t>
      </w:r>
      <w:r w:rsidR="00877D28">
        <w:rPr>
          <w:rFonts w:ascii="Arial" w:hAnsi="Arial" w:cs="Arial"/>
          <w:bCs/>
          <w:sz w:val="20"/>
          <w:szCs w:val="20"/>
        </w:rPr>
        <w:t xml:space="preserve">reserva </w:t>
      </w:r>
      <w:r w:rsidR="00F448A9">
        <w:rPr>
          <w:rFonts w:ascii="Arial" w:hAnsi="Arial" w:cs="Arial"/>
          <w:bCs/>
          <w:sz w:val="20"/>
          <w:szCs w:val="20"/>
        </w:rPr>
        <w:t>se debe constituir de forma acumulativa</w:t>
      </w:r>
      <w:r w:rsidR="00C9549C">
        <w:rPr>
          <w:rFonts w:ascii="Arial" w:hAnsi="Arial" w:cs="Arial"/>
          <w:bCs/>
          <w:sz w:val="20"/>
          <w:szCs w:val="20"/>
        </w:rPr>
        <w:t xml:space="preserve"> </w:t>
      </w:r>
      <w:r w:rsidR="00127424">
        <w:rPr>
          <w:rFonts w:ascii="Arial" w:hAnsi="Arial" w:cs="Arial"/>
          <w:bCs/>
          <w:sz w:val="20"/>
          <w:szCs w:val="20"/>
        </w:rPr>
        <w:t xml:space="preserve">y hasta el límite previsto en el </w:t>
      </w:r>
      <w:r w:rsidR="00127424">
        <w:rPr>
          <w:rFonts w:ascii="Arial" w:hAnsi="Arial" w:cs="Arial"/>
          <w:bCs/>
          <w:sz w:val="20"/>
          <w:szCs w:val="20"/>
          <w:lang w:val="es-CO"/>
        </w:rPr>
        <w:t xml:space="preserve">artículo 2.31.5.1.3. del Decreto 2555 de 2010. </w:t>
      </w:r>
    </w:p>
    <w:p w14:paraId="29132F83" w14:textId="77777777" w:rsidR="00906CC5" w:rsidRDefault="00906CC5" w:rsidP="001444E0">
      <w:pPr>
        <w:jc w:val="both"/>
        <w:rPr>
          <w:rFonts w:ascii="Arial" w:hAnsi="Arial" w:cs="Arial"/>
          <w:bCs/>
          <w:sz w:val="20"/>
          <w:szCs w:val="20"/>
          <w:lang w:val="es-CO"/>
        </w:rPr>
      </w:pPr>
    </w:p>
    <w:p w14:paraId="1D695566" w14:textId="59D523D8" w:rsidR="0017280C" w:rsidRDefault="00906CC5" w:rsidP="00464B39">
      <w:pPr>
        <w:jc w:val="both"/>
        <w:rPr>
          <w:rFonts w:ascii="Arial" w:hAnsi="Arial" w:cs="Arial"/>
          <w:bCs/>
          <w:sz w:val="20"/>
          <w:szCs w:val="20"/>
          <w:lang w:val="es-CO"/>
        </w:rPr>
      </w:pPr>
      <w:r>
        <w:rPr>
          <w:rFonts w:ascii="Arial" w:hAnsi="Arial" w:cs="Arial"/>
          <w:bCs/>
          <w:sz w:val="20"/>
          <w:szCs w:val="20"/>
          <w:lang w:val="es-CO"/>
        </w:rPr>
        <w:t xml:space="preserve">La liberación </w:t>
      </w:r>
      <w:r w:rsidR="009D2F05">
        <w:rPr>
          <w:rFonts w:ascii="Arial" w:hAnsi="Arial" w:cs="Arial"/>
          <w:bCs/>
          <w:sz w:val="20"/>
          <w:szCs w:val="20"/>
          <w:lang w:val="es-CO"/>
        </w:rPr>
        <w:t xml:space="preserve">de la reserva de riesgos catastróficos </w:t>
      </w:r>
      <w:r w:rsidR="004C044D">
        <w:rPr>
          <w:rFonts w:ascii="Arial" w:hAnsi="Arial" w:cs="Arial"/>
          <w:bCs/>
          <w:sz w:val="20"/>
          <w:szCs w:val="20"/>
          <w:lang w:val="es-CO"/>
        </w:rPr>
        <w:t xml:space="preserve">sólo es procedente cuando se cumplan los requisitos señalados </w:t>
      </w:r>
      <w:r w:rsidR="000A3EFC">
        <w:rPr>
          <w:rFonts w:ascii="Arial" w:hAnsi="Arial" w:cs="Arial"/>
          <w:bCs/>
          <w:sz w:val="20"/>
          <w:szCs w:val="20"/>
        </w:rPr>
        <w:t xml:space="preserve">en el </w:t>
      </w:r>
      <w:r w:rsidR="000A3EFC">
        <w:rPr>
          <w:rFonts w:ascii="Arial" w:hAnsi="Arial" w:cs="Arial"/>
          <w:bCs/>
          <w:sz w:val="20"/>
          <w:szCs w:val="20"/>
          <w:lang w:val="es-CO"/>
        </w:rPr>
        <w:t xml:space="preserve">artículo 2.31.5.1.3. del Decreto 2555 de 2010. Para estos efectos, las entidades </w:t>
      </w:r>
      <w:r w:rsidR="00D314F8">
        <w:rPr>
          <w:rFonts w:ascii="Arial" w:hAnsi="Arial" w:cs="Arial"/>
          <w:bCs/>
          <w:sz w:val="20"/>
          <w:szCs w:val="20"/>
          <w:lang w:val="es-CO"/>
        </w:rPr>
        <w:t xml:space="preserve">aseguradoras </w:t>
      </w:r>
      <w:r w:rsidR="000A3EFC">
        <w:rPr>
          <w:rFonts w:ascii="Arial" w:hAnsi="Arial" w:cs="Arial"/>
          <w:bCs/>
          <w:sz w:val="20"/>
          <w:szCs w:val="20"/>
          <w:lang w:val="es-CO"/>
        </w:rPr>
        <w:t>deben remitir a la SFC una solicitud de autorización</w:t>
      </w:r>
      <w:r w:rsidR="0013129F">
        <w:rPr>
          <w:rFonts w:ascii="Arial" w:hAnsi="Arial" w:cs="Arial"/>
          <w:bCs/>
          <w:sz w:val="20"/>
          <w:szCs w:val="20"/>
          <w:lang w:val="es-CO"/>
        </w:rPr>
        <w:t xml:space="preserve"> de liberación</w:t>
      </w:r>
      <w:r w:rsidR="00AD60F8">
        <w:rPr>
          <w:rFonts w:ascii="Arial" w:hAnsi="Arial" w:cs="Arial"/>
          <w:bCs/>
          <w:sz w:val="20"/>
          <w:szCs w:val="20"/>
          <w:lang w:val="es-CO"/>
        </w:rPr>
        <w:t xml:space="preserve">, con el contenido y dentro de los plazos mencionados en </w:t>
      </w:r>
      <w:r w:rsidR="00AD60F8">
        <w:rPr>
          <w:rFonts w:ascii="Arial" w:hAnsi="Arial" w:cs="Arial"/>
          <w:bCs/>
          <w:sz w:val="20"/>
          <w:szCs w:val="20"/>
        </w:rPr>
        <w:t xml:space="preserve">el </w:t>
      </w:r>
      <w:r w:rsidR="00AD60F8">
        <w:rPr>
          <w:rFonts w:ascii="Arial" w:hAnsi="Arial" w:cs="Arial"/>
          <w:bCs/>
          <w:sz w:val="20"/>
          <w:szCs w:val="20"/>
          <w:lang w:val="es-CO"/>
        </w:rPr>
        <w:t xml:space="preserve">artículo 2.31.5.1.3. del Decreto 2555 de 2010. </w:t>
      </w:r>
    </w:p>
    <w:p w14:paraId="5D2C2EAE" w14:textId="77777777" w:rsidR="00970693" w:rsidRDefault="00970693" w:rsidP="00464B39">
      <w:pPr>
        <w:jc w:val="both"/>
        <w:rPr>
          <w:rFonts w:ascii="Arial" w:hAnsi="Arial" w:cs="Arial"/>
          <w:bCs/>
          <w:sz w:val="20"/>
          <w:szCs w:val="20"/>
          <w:lang w:val="es-CO"/>
        </w:rPr>
      </w:pPr>
    </w:p>
    <w:p w14:paraId="1F4A2270" w14:textId="604555E6" w:rsidR="001A53F3" w:rsidRPr="004331CF" w:rsidRDefault="001A53F3" w:rsidP="001A53F3">
      <w:pPr>
        <w:pStyle w:val="Prrafodelista"/>
        <w:numPr>
          <w:ilvl w:val="1"/>
          <w:numId w:val="7"/>
        </w:numPr>
        <w:ind w:left="851" w:hanging="851"/>
        <w:jc w:val="both"/>
        <w:rPr>
          <w:rFonts w:ascii="Arial" w:hAnsi="Arial" w:cs="Arial"/>
          <w:b/>
          <w:sz w:val="20"/>
          <w:szCs w:val="20"/>
          <w:lang w:val="es-CO"/>
        </w:rPr>
      </w:pPr>
      <w:r w:rsidRPr="004331CF">
        <w:rPr>
          <w:rFonts w:ascii="Arial" w:hAnsi="Arial" w:cs="Arial"/>
          <w:b/>
          <w:sz w:val="20"/>
          <w:szCs w:val="20"/>
          <w:lang w:val="es-CO"/>
        </w:rPr>
        <w:t xml:space="preserve">Reservas aplicables a </w:t>
      </w:r>
      <w:r w:rsidR="00013031" w:rsidRPr="004331CF">
        <w:rPr>
          <w:rFonts w:ascii="Arial" w:hAnsi="Arial" w:cs="Arial"/>
          <w:b/>
          <w:sz w:val="20"/>
          <w:szCs w:val="20"/>
          <w:lang w:val="es-CO"/>
        </w:rPr>
        <w:t xml:space="preserve">los </w:t>
      </w:r>
      <w:r w:rsidR="00013031" w:rsidRPr="004331CF">
        <w:rPr>
          <w:rFonts w:ascii="Arial" w:hAnsi="Arial" w:cs="Arial"/>
          <w:b/>
          <w:sz w:val="20"/>
          <w:szCs w:val="20"/>
        </w:rPr>
        <w:t>Beneficios Económicos Periódicos (BEPS)</w:t>
      </w:r>
    </w:p>
    <w:p w14:paraId="6BD81259" w14:textId="77777777" w:rsidR="004331CF" w:rsidRDefault="004331CF" w:rsidP="004331CF">
      <w:pPr>
        <w:jc w:val="both"/>
        <w:rPr>
          <w:rFonts w:ascii="Arial" w:hAnsi="Arial" w:cs="Arial"/>
          <w:b/>
          <w:sz w:val="20"/>
          <w:szCs w:val="20"/>
          <w:lang w:val="es-CO"/>
        </w:rPr>
      </w:pPr>
    </w:p>
    <w:p w14:paraId="25231B7B" w14:textId="72EA391E" w:rsidR="004331CF" w:rsidRDefault="003F0E17" w:rsidP="004331CF">
      <w:pPr>
        <w:jc w:val="both"/>
        <w:rPr>
          <w:rFonts w:ascii="Arial" w:hAnsi="Arial" w:cs="Arial"/>
          <w:bCs/>
          <w:sz w:val="20"/>
          <w:szCs w:val="20"/>
          <w:lang w:val="es-CO"/>
        </w:rPr>
      </w:pPr>
      <w:r>
        <w:rPr>
          <w:rFonts w:ascii="Arial" w:hAnsi="Arial" w:cs="Arial"/>
          <w:bCs/>
          <w:sz w:val="20"/>
          <w:szCs w:val="20"/>
          <w:lang w:val="es-CO"/>
        </w:rPr>
        <w:t xml:space="preserve">Las reservas </w:t>
      </w:r>
      <w:r w:rsidR="00776B3A">
        <w:rPr>
          <w:rFonts w:ascii="Arial" w:hAnsi="Arial" w:cs="Arial"/>
          <w:bCs/>
          <w:sz w:val="20"/>
          <w:szCs w:val="20"/>
          <w:lang w:val="es-CO"/>
        </w:rPr>
        <w:t xml:space="preserve">técnicas </w:t>
      </w:r>
      <w:r w:rsidR="00776B3A" w:rsidRPr="00776B3A">
        <w:rPr>
          <w:rFonts w:ascii="Arial" w:hAnsi="Arial" w:cs="Arial"/>
          <w:bCs/>
          <w:sz w:val="20"/>
          <w:szCs w:val="20"/>
          <w:lang w:val="es-CO"/>
        </w:rPr>
        <w:t>aplicables a los BEPS</w:t>
      </w:r>
      <w:r w:rsidR="00776B3A">
        <w:rPr>
          <w:rFonts w:ascii="Arial" w:hAnsi="Arial" w:cs="Arial"/>
          <w:bCs/>
          <w:sz w:val="20"/>
          <w:szCs w:val="20"/>
          <w:lang w:val="es-CO"/>
        </w:rPr>
        <w:t xml:space="preserve"> </w:t>
      </w:r>
      <w:r w:rsidR="006F2258">
        <w:rPr>
          <w:rFonts w:ascii="Arial" w:hAnsi="Arial" w:cs="Arial"/>
          <w:bCs/>
          <w:sz w:val="20"/>
          <w:szCs w:val="20"/>
          <w:lang w:val="es-CO"/>
        </w:rPr>
        <w:t xml:space="preserve">se rigen por lo dispuesto en el Decreto 604 de 2013, incorporado al Decreto </w:t>
      </w:r>
      <w:r w:rsidR="003C2FB9">
        <w:rPr>
          <w:rFonts w:ascii="Arial" w:hAnsi="Arial" w:cs="Arial"/>
          <w:bCs/>
          <w:sz w:val="20"/>
          <w:szCs w:val="20"/>
          <w:lang w:val="es-CO"/>
        </w:rPr>
        <w:t xml:space="preserve">1833 de 2016, y por el anexo 9 </w:t>
      </w:r>
      <w:r w:rsidR="00791FCF" w:rsidRPr="00791FCF">
        <w:rPr>
          <w:rFonts w:ascii="Arial" w:hAnsi="Arial" w:cs="Arial"/>
          <w:bCs/>
          <w:sz w:val="20"/>
          <w:szCs w:val="20"/>
        </w:rPr>
        <w:t>«</w:t>
      </w:r>
      <w:r w:rsidR="00974C7C" w:rsidRPr="008E14C5">
        <w:rPr>
          <w:rFonts w:ascii="Arial" w:hAnsi="Arial" w:cs="Arial"/>
          <w:sz w:val="20"/>
          <w:szCs w:val="20"/>
        </w:rPr>
        <w:t>Nota técnica del ramo de seguros del servicio social complementario de Beneficios Económicos Periódicos</w:t>
      </w:r>
      <w:r w:rsidR="00974C7C" w:rsidRPr="001C09E5">
        <w:rPr>
          <w:rFonts w:ascii="Arial" w:hAnsi="Arial" w:cs="Arial"/>
          <w:sz w:val="20"/>
          <w:szCs w:val="20"/>
        </w:rPr>
        <w:t xml:space="preserve"> </w:t>
      </w:r>
      <w:r w:rsidR="00974C7C" w:rsidRPr="008E14C5">
        <w:rPr>
          <w:rFonts w:ascii="Arial" w:hAnsi="Arial" w:cs="Arial"/>
          <w:sz w:val="20"/>
          <w:szCs w:val="20"/>
        </w:rPr>
        <w:t>–</w:t>
      </w:r>
      <w:r w:rsidR="00974C7C" w:rsidRPr="001C09E5">
        <w:rPr>
          <w:rFonts w:ascii="Arial" w:hAnsi="Arial" w:cs="Arial"/>
          <w:sz w:val="20"/>
          <w:szCs w:val="20"/>
        </w:rPr>
        <w:t xml:space="preserve"> BEPS</w:t>
      </w:r>
      <w:r w:rsidR="008F3F44" w:rsidRPr="004C595E">
        <w:rPr>
          <w:rFonts w:ascii="Arial" w:hAnsi="Arial" w:cs="Arial"/>
          <w:bCs/>
          <w:sz w:val="20"/>
          <w:szCs w:val="20"/>
        </w:rPr>
        <w:t>»</w:t>
      </w:r>
      <w:r w:rsidR="00974C7C" w:rsidRPr="008E14C5">
        <w:rPr>
          <w:rFonts w:ascii="Arial" w:hAnsi="Arial" w:cs="Arial"/>
          <w:sz w:val="20"/>
          <w:szCs w:val="20"/>
        </w:rPr>
        <w:t xml:space="preserve">, </w:t>
      </w:r>
      <w:r w:rsidR="000A2EF1">
        <w:rPr>
          <w:rFonts w:ascii="Arial" w:hAnsi="Arial" w:cs="Arial"/>
          <w:bCs/>
          <w:sz w:val="20"/>
          <w:szCs w:val="20"/>
          <w:lang w:val="es-CO"/>
        </w:rPr>
        <w:t xml:space="preserve">del </w:t>
      </w:r>
      <w:r w:rsidR="0024475F">
        <w:rPr>
          <w:rFonts w:ascii="Arial" w:hAnsi="Arial" w:cs="Arial"/>
          <w:bCs/>
          <w:sz w:val="20"/>
          <w:szCs w:val="20"/>
          <w:lang w:val="es-CO"/>
        </w:rPr>
        <w:t xml:space="preserve">capítulo II del </w:t>
      </w:r>
      <w:r w:rsidR="000A2EF1">
        <w:rPr>
          <w:rFonts w:ascii="Arial" w:hAnsi="Arial" w:cs="Arial"/>
          <w:bCs/>
          <w:sz w:val="20"/>
          <w:szCs w:val="20"/>
          <w:lang w:val="es-CO"/>
        </w:rPr>
        <w:t xml:space="preserve">título </w:t>
      </w:r>
      <w:r w:rsidR="0024475F">
        <w:rPr>
          <w:rFonts w:ascii="Arial" w:hAnsi="Arial" w:cs="Arial"/>
          <w:bCs/>
          <w:sz w:val="20"/>
          <w:szCs w:val="20"/>
          <w:lang w:val="es-CO"/>
        </w:rPr>
        <w:t>IV</w:t>
      </w:r>
      <w:r w:rsidR="000A2EF1">
        <w:rPr>
          <w:rFonts w:ascii="Arial" w:hAnsi="Arial" w:cs="Arial"/>
          <w:bCs/>
          <w:sz w:val="20"/>
          <w:szCs w:val="20"/>
          <w:lang w:val="es-CO"/>
        </w:rPr>
        <w:t xml:space="preserve"> de la parte II de la Circular Básica Jurídica.</w:t>
      </w:r>
    </w:p>
    <w:p w14:paraId="5341EE41" w14:textId="77777777" w:rsidR="000B335D" w:rsidRPr="000A2EF1" w:rsidRDefault="000B335D" w:rsidP="004331CF">
      <w:pPr>
        <w:jc w:val="both"/>
        <w:rPr>
          <w:rFonts w:ascii="Arial" w:hAnsi="Arial" w:cs="Arial"/>
          <w:bCs/>
          <w:sz w:val="20"/>
          <w:szCs w:val="20"/>
          <w:lang w:val="es-CO"/>
        </w:rPr>
      </w:pPr>
    </w:p>
    <w:p w14:paraId="08D43A67" w14:textId="38212F65" w:rsidR="004331CF" w:rsidRPr="00EF415E" w:rsidRDefault="00EF415E" w:rsidP="00263516">
      <w:pPr>
        <w:ind w:left="708" w:hanging="708"/>
        <w:jc w:val="both"/>
        <w:rPr>
          <w:rFonts w:ascii="Arial" w:hAnsi="Arial" w:cs="Arial"/>
          <w:b/>
          <w:sz w:val="20"/>
          <w:szCs w:val="20"/>
          <w:lang w:val="es-CO"/>
        </w:rPr>
      </w:pPr>
      <w:r>
        <w:rPr>
          <w:rFonts w:ascii="Arial" w:hAnsi="Arial" w:cs="Arial"/>
          <w:b/>
          <w:sz w:val="20"/>
          <w:szCs w:val="20"/>
          <w:lang w:val="es-CO"/>
        </w:rPr>
        <w:lastRenderedPageBreak/>
        <w:t>5.9.</w:t>
      </w:r>
      <w:r>
        <w:rPr>
          <w:rFonts w:ascii="Arial" w:hAnsi="Arial" w:cs="Arial"/>
          <w:b/>
          <w:sz w:val="20"/>
          <w:szCs w:val="20"/>
          <w:lang w:val="es-CO"/>
        </w:rPr>
        <w:tab/>
      </w:r>
      <w:r w:rsidR="004331CF" w:rsidRPr="00EF415E">
        <w:rPr>
          <w:rFonts w:ascii="Arial" w:hAnsi="Arial" w:cs="Arial"/>
          <w:b/>
          <w:sz w:val="20"/>
          <w:szCs w:val="20"/>
          <w:lang w:val="es-CO"/>
        </w:rPr>
        <w:t xml:space="preserve">Reservas aplicables a </w:t>
      </w:r>
      <w:r w:rsidR="00E0576D" w:rsidRPr="00EF415E">
        <w:rPr>
          <w:rFonts w:ascii="Arial" w:hAnsi="Arial" w:cs="Arial"/>
          <w:b/>
          <w:sz w:val="20"/>
          <w:szCs w:val="20"/>
          <w:lang w:val="es-CO"/>
        </w:rPr>
        <w:t>l</w:t>
      </w:r>
      <w:r w:rsidR="00E0576D" w:rsidRPr="00EF415E">
        <w:rPr>
          <w:rFonts w:ascii="Arial" w:hAnsi="Arial" w:cs="Arial"/>
          <w:b/>
          <w:sz w:val="20"/>
          <w:szCs w:val="20"/>
        </w:rPr>
        <w:t xml:space="preserve">os amparos por riesgos políticos o extraordinarios del seguro </w:t>
      </w:r>
      <w:r w:rsidR="00961EA0">
        <w:rPr>
          <w:rFonts w:ascii="Arial" w:hAnsi="Arial" w:cs="Arial"/>
          <w:b/>
          <w:sz w:val="20"/>
          <w:szCs w:val="20"/>
        </w:rPr>
        <w:t xml:space="preserve">de </w:t>
      </w:r>
      <w:r w:rsidR="00E0576D" w:rsidRPr="00EF415E">
        <w:rPr>
          <w:rFonts w:ascii="Arial" w:hAnsi="Arial" w:cs="Arial"/>
          <w:b/>
          <w:sz w:val="20"/>
          <w:szCs w:val="20"/>
        </w:rPr>
        <w:t>crédito a la exportación garantizado por la Nación</w:t>
      </w:r>
    </w:p>
    <w:p w14:paraId="0A12106F" w14:textId="77777777" w:rsidR="00C87182" w:rsidRDefault="00C87182" w:rsidP="003663D2">
      <w:pPr>
        <w:jc w:val="both"/>
        <w:rPr>
          <w:rFonts w:ascii="Arial" w:hAnsi="Arial" w:cs="Arial"/>
          <w:b/>
          <w:sz w:val="20"/>
          <w:szCs w:val="20"/>
          <w:lang w:val="es-CO"/>
        </w:rPr>
      </w:pPr>
    </w:p>
    <w:p w14:paraId="4E040C20" w14:textId="52E7C5D1" w:rsidR="0049123C" w:rsidRPr="00BC174D" w:rsidRDefault="00BA18F0" w:rsidP="003663D2">
      <w:pPr>
        <w:jc w:val="both"/>
        <w:rPr>
          <w:rFonts w:ascii="Arial" w:hAnsi="Arial" w:cs="Arial"/>
          <w:bCs/>
          <w:sz w:val="20"/>
          <w:szCs w:val="20"/>
          <w:lang w:val="es-CO"/>
        </w:rPr>
      </w:pPr>
      <w:r>
        <w:rPr>
          <w:rFonts w:ascii="Arial" w:hAnsi="Arial" w:cs="Arial"/>
          <w:bCs/>
          <w:sz w:val="20"/>
          <w:szCs w:val="20"/>
          <w:lang w:val="es-CO"/>
        </w:rPr>
        <w:t xml:space="preserve">Las reservas técnicas </w:t>
      </w:r>
      <w:r w:rsidRPr="00776B3A">
        <w:rPr>
          <w:rFonts w:ascii="Arial" w:hAnsi="Arial" w:cs="Arial"/>
          <w:bCs/>
          <w:sz w:val="20"/>
          <w:szCs w:val="20"/>
          <w:lang w:val="es-CO"/>
        </w:rPr>
        <w:t xml:space="preserve">aplicables a </w:t>
      </w:r>
      <w:r w:rsidR="004E78B2" w:rsidRPr="004E78B2">
        <w:rPr>
          <w:rFonts w:ascii="Arial" w:hAnsi="Arial" w:cs="Arial"/>
          <w:bCs/>
          <w:sz w:val="20"/>
          <w:szCs w:val="20"/>
          <w:lang w:val="es-CO"/>
        </w:rPr>
        <w:t xml:space="preserve">los amparos por riesgos políticos o extraordinarios del seguro </w:t>
      </w:r>
      <w:r w:rsidR="005A573F">
        <w:rPr>
          <w:rFonts w:ascii="Arial" w:hAnsi="Arial" w:cs="Arial"/>
          <w:bCs/>
          <w:sz w:val="20"/>
          <w:szCs w:val="20"/>
          <w:lang w:val="es-CO"/>
        </w:rPr>
        <w:t xml:space="preserve">de </w:t>
      </w:r>
      <w:r w:rsidR="004E78B2" w:rsidRPr="004E78B2">
        <w:rPr>
          <w:rFonts w:ascii="Arial" w:hAnsi="Arial" w:cs="Arial"/>
          <w:bCs/>
          <w:sz w:val="20"/>
          <w:szCs w:val="20"/>
          <w:lang w:val="es-CO"/>
        </w:rPr>
        <w:t xml:space="preserve">crédito a la exportación garantizado por la Nación </w:t>
      </w:r>
      <w:r>
        <w:rPr>
          <w:rFonts w:ascii="Arial" w:hAnsi="Arial" w:cs="Arial"/>
          <w:bCs/>
          <w:sz w:val="20"/>
          <w:szCs w:val="20"/>
          <w:lang w:val="es-CO"/>
        </w:rPr>
        <w:t xml:space="preserve">se rigen por lo dispuesto en el </w:t>
      </w:r>
      <w:r w:rsidDel="009031A9">
        <w:rPr>
          <w:rFonts w:ascii="Arial" w:hAnsi="Arial" w:cs="Arial"/>
          <w:bCs/>
          <w:sz w:val="20"/>
          <w:szCs w:val="20"/>
          <w:lang w:val="es-CO"/>
        </w:rPr>
        <w:t>Decreto</w:t>
      </w:r>
      <w:r w:rsidR="007F1720" w:rsidDel="009031A9">
        <w:rPr>
          <w:rFonts w:ascii="Arial" w:hAnsi="Arial" w:cs="Arial"/>
          <w:bCs/>
          <w:sz w:val="20"/>
          <w:szCs w:val="20"/>
          <w:lang w:val="es-CO"/>
        </w:rPr>
        <w:t xml:space="preserve"> </w:t>
      </w:r>
      <w:r w:rsidR="003A2A18" w:rsidRPr="003A2A18">
        <w:rPr>
          <w:rFonts w:ascii="Arial" w:hAnsi="Arial" w:cs="Arial"/>
          <w:bCs/>
          <w:sz w:val="20"/>
          <w:szCs w:val="20"/>
          <w:lang w:val="es-CO"/>
        </w:rPr>
        <w:t xml:space="preserve">1068 </w:t>
      </w:r>
      <w:r w:rsidR="002B33E9">
        <w:rPr>
          <w:rFonts w:ascii="Arial" w:hAnsi="Arial" w:cs="Arial"/>
          <w:bCs/>
          <w:sz w:val="20"/>
          <w:szCs w:val="20"/>
          <w:lang w:val="es-CO"/>
        </w:rPr>
        <w:t>de</w:t>
      </w:r>
      <w:r w:rsidR="003A2A18" w:rsidRPr="003A2A18">
        <w:rPr>
          <w:rFonts w:ascii="Arial" w:hAnsi="Arial" w:cs="Arial"/>
          <w:bCs/>
          <w:sz w:val="20"/>
          <w:szCs w:val="20"/>
          <w:lang w:val="es-CO"/>
        </w:rPr>
        <w:t xml:space="preserve"> 2015</w:t>
      </w:r>
      <w:r w:rsidR="00C44912">
        <w:rPr>
          <w:rFonts w:ascii="Arial" w:hAnsi="Arial" w:cs="Arial"/>
          <w:bCs/>
          <w:sz w:val="20"/>
          <w:szCs w:val="20"/>
          <w:lang w:val="es-CO"/>
        </w:rPr>
        <w:t>.</w:t>
      </w:r>
    </w:p>
    <w:p w14:paraId="6D56336A" w14:textId="77777777" w:rsidR="00C313FD" w:rsidRPr="00054A3A" w:rsidRDefault="00C313FD" w:rsidP="003663D2">
      <w:pPr>
        <w:jc w:val="both"/>
        <w:rPr>
          <w:rFonts w:ascii="Arial" w:hAnsi="Arial" w:cs="Arial"/>
          <w:b/>
          <w:sz w:val="20"/>
          <w:szCs w:val="20"/>
          <w:lang w:val="es-CO"/>
        </w:rPr>
      </w:pPr>
    </w:p>
    <w:p w14:paraId="3661CEF1" w14:textId="1B46A80B" w:rsidR="00054A3A" w:rsidRDefault="0050411A" w:rsidP="00BE2CFC">
      <w:pPr>
        <w:pStyle w:val="Prrafodelista"/>
        <w:numPr>
          <w:ilvl w:val="0"/>
          <w:numId w:val="7"/>
        </w:numPr>
        <w:ind w:left="851" w:hanging="851"/>
        <w:jc w:val="both"/>
        <w:rPr>
          <w:rFonts w:ascii="Arial" w:hAnsi="Arial" w:cs="Arial"/>
          <w:b/>
          <w:sz w:val="20"/>
          <w:szCs w:val="20"/>
          <w:lang w:val="es-CO"/>
        </w:rPr>
      </w:pPr>
      <w:r>
        <w:rPr>
          <w:rFonts w:ascii="Arial" w:hAnsi="Arial" w:cs="Arial"/>
          <w:b/>
          <w:sz w:val="20"/>
          <w:szCs w:val="20"/>
          <w:lang w:val="es-CO"/>
        </w:rPr>
        <w:t>Certificación de suficiencia de las reservas técnicas</w:t>
      </w:r>
    </w:p>
    <w:p w14:paraId="6E351DD6" w14:textId="5F41C0C1" w:rsidR="00791BE1" w:rsidRPr="00FD7771" w:rsidRDefault="00791BE1" w:rsidP="00FD7771">
      <w:pPr>
        <w:jc w:val="both"/>
        <w:rPr>
          <w:rFonts w:ascii="Arial" w:hAnsi="Arial" w:cs="Arial"/>
          <w:b/>
          <w:sz w:val="20"/>
          <w:szCs w:val="20"/>
          <w:lang w:val="es-CO"/>
        </w:rPr>
      </w:pPr>
    </w:p>
    <w:p w14:paraId="0D94ECA2" w14:textId="35B9F34F" w:rsidR="00791BE1" w:rsidRDefault="00791BE1" w:rsidP="00791BE1">
      <w:pPr>
        <w:jc w:val="both"/>
        <w:rPr>
          <w:rFonts w:ascii="Arial" w:hAnsi="Arial" w:cs="Arial"/>
          <w:bCs/>
          <w:sz w:val="20"/>
          <w:szCs w:val="20"/>
          <w:lang w:val="es-MX"/>
        </w:rPr>
      </w:pPr>
      <w:r>
        <w:rPr>
          <w:rFonts w:ascii="Arial" w:hAnsi="Arial" w:cs="Arial"/>
          <w:bCs/>
          <w:sz w:val="20"/>
          <w:szCs w:val="20"/>
          <w:lang w:val="es-MX"/>
        </w:rPr>
        <w:t xml:space="preserve">En desarrollo de lo previsto en </w:t>
      </w:r>
      <w:r w:rsidRPr="0002529A">
        <w:rPr>
          <w:rFonts w:ascii="Arial" w:hAnsi="Arial" w:cs="Arial"/>
          <w:bCs/>
          <w:sz w:val="20"/>
          <w:szCs w:val="20"/>
          <w:lang w:val="es-MX"/>
        </w:rPr>
        <w:t xml:space="preserve">el </w:t>
      </w:r>
      <w:r>
        <w:rPr>
          <w:rFonts w:ascii="Arial" w:hAnsi="Arial" w:cs="Arial"/>
          <w:bCs/>
          <w:sz w:val="20"/>
          <w:szCs w:val="20"/>
          <w:lang w:val="es-MX"/>
        </w:rPr>
        <w:t>p</w:t>
      </w:r>
      <w:r w:rsidRPr="0002529A">
        <w:rPr>
          <w:rFonts w:ascii="Arial" w:hAnsi="Arial" w:cs="Arial"/>
          <w:bCs/>
          <w:sz w:val="20"/>
          <w:szCs w:val="20"/>
          <w:lang w:val="es-MX"/>
        </w:rPr>
        <w:t xml:space="preserve">arágrafo </w:t>
      </w:r>
      <w:r w:rsidR="005A573F">
        <w:rPr>
          <w:rFonts w:ascii="Arial" w:hAnsi="Arial" w:cs="Arial"/>
          <w:bCs/>
          <w:sz w:val="20"/>
          <w:szCs w:val="20"/>
          <w:lang w:val="es-MX"/>
        </w:rPr>
        <w:t xml:space="preserve">único </w:t>
      </w:r>
      <w:r w:rsidRPr="0002529A">
        <w:rPr>
          <w:rFonts w:ascii="Arial" w:hAnsi="Arial" w:cs="Arial"/>
          <w:bCs/>
          <w:sz w:val="20"/>
          <w:szCs w:val="20"/>
          <w:lang w:val="es-MX"/>
        </w:rPr>
        <w:t xml:space="preserve">del artículo 2.31.4.1.2 del Decreto 2555 de 2010, </w:t>
      </w:r>
      <w:r>
        <w:rPr>
          <w:rFonts w:ascii="Arial" w:hAnsi="Arial" w:cs="Arial"/>
          <w:bCs/>
          <w:sz w:val="20"/>
          <w:szCs w:val="20"/>
          <w:lang w:val="es-MX"/>
        </w:rPr>
        <w:t>el actuario responsable de las entidades aseguradoras debe emitir una certificación de suficiencia de las reservas técnicas de acuerdo con las instrucciones del presente capítulo.</w:t>
      </w:r>
    </w:p>
    <w:p w14:paraId="4D77DB47" w14:textId="77777777" w:rsidR="00791BE1" w:rsidRPr="00FD7771" w:rsidRDefault="00791BE1" w:rsidP="00FD7771">
      <w:pPr>
        <w:jc w:val="both"/>
        <w:rPr>
          <w:rFonts w:ascii="Arial" w:hAnsi="Arial" w:cs="Arial"/>
          <w:b/>
          <w:sz w:val="20"/>
          <w:szCs w:val="20"/>
          <w:lang w:val="es-CO"/>
        </w:rPr>
      </w:pPr>
    </w:p>
    <w:p w14:paraId="448DE2B9" w14:textId="4C43E54E" w:rsidR="0002529A" w:rsidRPr="009F4E6E" w:rsidRDefault="009F4E6E" w:rsidP="00BE2CFC">
      <w:pPr>
        <w:pStyle w:val="Prrafodelista"/>
        <w:numPr>
          <w:ilvl w:val="1"/>
          <w:numId w:val="10"/>
        </w:numPr>
        <w:ind w:left="851" w:hanging="851"/>
        <w:jc w:val="both"/>
        <w:rPr>
          <w:rFonts w:ascii="Arial" w:hAnsi="Arial" w:cs="Arial"/>
          <w:b/>
          <w:sz w:val="20"/>
          <w:szCs w:val="20"/>
          <w:lang w:val="es-CO"/>
        </w:rPr>
      </w:pPr>
      <w:r w:rsidRPr="009F4E6E">
        <w:rPr>
          <w:rFonts w:ascii="Arial" w:hAnsi="Arial" w:cs="Arial"/>
          <w:b/>
          <w:sz w:val="20"/>
          <w:szCs w:val="20"/>
          <w:lang w:val="es-CO"/>
        </w:rPr>
        <w:t>C</w:t>
      </w:r>
      <w:r w:rsidR="0002529A" w:rsidRPr="009F4E6E">
        <w:rPr>
          <w:rFonts w:ascii="Arial" w:hAnsi="Arial" w:cs="Arial"/>
          <w:b/>
          <w:sz w:val="20"/>
          <w:szCs w:val="20"/>
          <w:lang w:val="es-CO"/>
        </w:rPr>
        <w:t>ontenido de la certificación de la suficiencia de las reservas técnicas</w:t>
      </w:r>
    </w:p>
    <w:p w14:paraId="123FA22F" w14:textId="77777777" w:rsidR="0002529A" w:rsidRPr="0002529A" w:rsidRDefault="0002529A" w:rsidP="0002529A">
      <w:pPr>
        <w:jc w:val="both"/>
        <w:rPr>
          <w:rFonts w:ascii="Arial" w:hAnsi="Arial" w:cs="Arial"/>
          <w:bCs/>
          <w:sz w:val="20"/>
          <w:szCs w:val="20"/>
          <w:lang w:val="es-MX"/>
        </w:rPr>
      </w:pPr>
    </w:p>
    <w:p w14:paraId="2E3DA9C9" w14:textId="43D224C9" w:rsidR="0002529A" w:rsidRP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La certificación de suficiencia de las reservas técnicas, emitida mediante documento físico o electrónico, debe contener </w:t>
      </w:r>
      <w:r w:rsidR="0094317E">
        <w:rPr>
          <w:rFonts w:ascii="Arial" w:hAnsi="Arial" w:cs="Arial"/>
          <w:bCs/>
          <w:sz w:val="20"/>
          <w:szCs w:val="20"/>
          <w:lang w:val="es-MX"/>
        </w:rPr>
        <w:t xml:space="preserve">el </w:t>
      </w:r>
      <w:r w:rsidRPr="0002529A">
        <w:rPr>
          <w:rFonts w:ascii="Arial" w:hAnsi="Arial" w:cs="Arial"/>
          <w:bCs/>
          <w:sz w:val="20"/>
          <w:szCs w:val="20"/>
          <w:lang w:val="es-MX"/>
        </w:rPr>
        <w:t xml:space="preserve">concepto </w:t>
      </w:r>
      <w:r w:rsidR="0094317E">
        <w:rPr>
          <w:rFonts w:ascii="Arial" w:hAnsi="Arial" w:cs="Arial"/>
          <w:bCs/>
          <w:sz w:val="20"/>
          <w:szCs w:val="20"/>
          <w:lang w:val="es-MX"/>
        </w:rPr>
        <w:t>de</w:t>
      </w:r>
      <w:r w:rsidR="0055719E">
        <w:rPr>
          <w:rFonts w:ascii="Arial" w:hAnsi="Arial" w:cs="Arial"/>
          <w:bCs/>
          <w:sz w:val="20"/>
          <w:szCs w:val="20"/>
          <w:lang w:val="es-MX"/>
        </w:rPr>
        <w:t>l</w:t>
      </w:r>
      <w:r w:rsidR="0094317E">
        <w:rPr>
          <w:rFonts w:ascii="Arial" w:hAnsi="Arial" w:cs="Arial"/>
          <w:bCs/>
          <w:sz w:val="20"/>
          <w:szCs w:val="20"/>
          <w:lang w:val="es-MX"/>
        </w:rPr>
        <w:t xml:space="preserve"> actuario responsable </w:t>
      </w:r>
      <w:r w:rsidRPr="0002529A">
        <w:rPr>
          <w:rFonts w:ascii="Arial" w:hAnsi="Arial" w:cs="Arial"/>
          <w:bCs/>
          <w:sz w:val="20"/>
          <w:szCs w:val="20"/>
          <w:lang w:val="es-MX"/>
        </w:rPr>
        <w:t>sobre la suficiencia de las reservas técnicas para cada ramo de seguro</w:t>
      </w:r>
      <w:r w:rsidR="004A405C">
        <w:rPr>
          <w:rFonts w:ascii="Arial" w:hAnsi="Arial" w:cs="Arial"/>
          <w:bCs/>
          <w:sz w:val="20"/>
          <w:szCs w:val="20"/>
          <w:lang w:val="es-MX"/>
        </w:rPr>
        <w:t>s</w:t>
      </w:r>
      <w:r w:rsidRPr="0002529A">
        <w:rPr>
          <w:rFonts w:ascii="Arial" w:hAnsi="Arial" w:cs="Arial"/>
          <w:bCs/>
          <w:sz w:val="20"/>
          <w:szCs w:val="20"/>
          <w:lang w:val="es-MX"/>
        </w:rPr>
        <w:t xml:space="preserve"> que opere la entidad aseguradora. Dicha certificación debe permanecer a disposición de la SFC y remitirse a esta entidad</w:t>
      </w:r>
      <w:r w:rsidR="00E57871">
        <w:rPr>
          <w:rFonts w:ascii="Arial" w:hAnsi="Arial" w:cs="Arial"/>
          <w:bCs/>
          <w:sz w:val="20"/>
          <w:szCs w:val="20"/>
          <w:lang w:val="es-MX"/>
        </w:rPr>
        <w:t xml:space="preserve"> e</w:t>
      </w:r>
      <w:r w:rsidRPr="0002529A">
        <w:rPr>
          <w:rFonts w:ascii="Arial" w:hAnsi="Arial" w:cs="Arial"/>
          <w:bCs/>
          <w:sz w:val="20"/>
          <w:szCs w:val="20"/>
          <w:lang w:val="es-MX"/>
        </w:rPr>
        <w:t>n cualquiera de los siguientes casos: (i) anualmente con los estados financieros con corte a 31 de diciembre; (</w:t>
      </w:r>
      <w:proofErr w:type="spellStart"/>
      <w:r w:rsidRPr="0002529A">
        <w:rPr>
          <w:rFonts w:ascii="Arial" w:hAnsi="Arial" w:cs="Arial"/>
          <w:bCs/>
          <w:sz w:val="20"/>
          <w:szCs w:val="20"/>
          <w:lang w:val="es-MX"/>
        </w:rPr>
        <w:t>ii</w:t>
      </w:r>
      <w:proofErr w:type="spellEnd"/>
      <w:r w:rsidRPr="0002529A">
        <w:rPr>
          <w:rFonts w:ascii="Arial" w:hAnsi="Arial" w:cs="Arial"/>
          <w:bCs/>
          <w:sz w:val="20"/>
          <w:szCs w:val="20"/>
          <w:lang w:val="es-MX"/>
        </w:rPr>
        <w:t>) cuando en la evaluación de la suficiencia de reservas técnicas se incluyan hallazgos, observaciones, recomendaciones, o se presenten inconsistencias con las metodologías o cuantificaciones realizadas</w:t>
      </w:r>
      <w:r w:rsidR="00440915">
        <w:rPr>
          <w:rFonts w:ascii="Arial" w:hAnsi="Arial" w:cs="Arial"/>
          <w:bCs/>
          <w:sz w:val="20"/>
          <w:szCs w:val="20"/>
          <w:lang w:val="es-MX"/>
        </w:rPr>
        <w:t>;</w:t>
      </w:r>
      <w:r w:rsidRPr="0002529A">
        <w:rPr>
          <w:rFonts w:ascii="Arial" w:hAnsi="Arial" w:cs="Arial"/>
          <w:bCs/>
          <w:sz w:val="20"/>
          <w:szCs w:val="20"/>
          <w:lang w:val="es-MX"/>
        </w:rPr>
        <w:t xml:space="preserve"> y (</w:t>
      </w:r>
      <w:proofErr w:type="spellStart"/>
      <w:r w:rsidRPr="0002529A">
        <w:rPr>
          <w:rFonts w:ascii="Arial" w:hAnsi="Arial" w:cs="Arial"/>
          <w:bCs/>
          <w:sz w:val="20"/>
          <w:szCs w:val="20"/>
          <w:lang w:val="es-MX"/>
        </w:rPr>
        <w:t>iii</w:t>
      </w:r>
      <w:proofErr w:type="spellEnd"/>
      <w:r w:rsidRPr="0002529A">
        <w:rPr>
          <w:rFonts w:ascii="Arial" w:hAnsi="Arial" w:cs="Arial"/>
          <w:bCs/>
          <w:sz w:val="20"/>
          <w:szCs w:val="20"/>
          <w:lang w:val="es-MX"/>
        </w:rPr>
        <w:t xml:space="preserve">) cuando la entidad aseguradora modifique alguna de las metodologías de cálculo de las reservas técnicas. En estos casos la certificación debe remitirse en el mismo término de </w:t>
      </w:r>
      <w:r w:rsidR="002A684E">
        <w:rPr>
          <w:rFonts w:ascii="Arial" w:hAnsi="Arial" w:cs="Arial"/>
          <w:bCs/>
          <w:sz w:val="20"/>
          <w:szCs w:val="20"/>
          <w:lang w:val="es-MX"/>
        </w:rPr>
        <w:t>envío</w:t>
      </w:r>
      <w:r w:rsidRPr="0002529A">
        <w:rPr>
          <w:rFonts w:ascii="Arial" w:hAnsi="Arial" w:cs="Arial"/>
          <w:bCs/>
          <w:sz w:val="20"/>
          <w:szCs w:val="20"/>
          <w:lang w:val="es-MX"/>
        </w:rPr>
        <w:t xml:space="preserve"> de los estados financieros del mes objeto de revisión y debe contener como mínimo los siguientes elementos:</w:t>
      </w:r>
    </w:p>
    <w:p w14:paraId="0EA74D27" w14:textId="77777777" w:rsidR="0002529A" w:rsidRPr="0002529A" w:rsidRDefault="0002529A" w:rsidP="0002529A">
      <w:pPr>
        <w:jc w:val="both"/>
        <w:rPr>
          <w:rFonts w:ascii="Arial" w:hAnsi="Arial" w:cs="Arial"/>
          <w:bCs/>
          <w:sz w:val="20"/>
          <w:szCs w:val="20"/>
          <w:lang w:val="es-MX"/>
        </w:rPr>
      </w:pPr>
    </w:p>
    <w:p w14:paraId="43478F6F" w14:textId="7F0DF0BB" w:rsidR="0002529A" w:rsidRPr="008561D0" w:rsidRDefault="0002529A" w:rsidP="00BE2CFC">
      <w:pPr>
        <w:pStyle w:val="Prrafodelista"/>
        <w:numPr>
          <w:ilvl w:val="2"/>
          <w:numId w:val="10"/>
        </w:numPr>
        <w:ind w:left="851" w:hanging="851"/>
        <w:jc w:val="both"/>
        <w:rPr>
          <w:rFonts w:ascii="Arial" w:hAnsi="Arial" w:cs="Arial"/>
          <w:b/>
          <w:sz w:val="20"/>
          <w:szCs w:val="20"/>
          <w:lang w:val="es-MX"/>
        </w:rPr>
      </w:pPr>
      <w:r w:rsidRPr="008561D0">
        <w:rPr>
          <w:rFonts w:ascii="Arial" w:hAnsi="Arial" w:cs="Arial"/>
          <w:b/>
          <w:sz w:val="20"/>
          <w:szCs w:val="20"/>
          <w:lang w:val="es-MX"/>
        </w:rPr>
        <w:t>Datos básicos</w:t>
      </w:r>
    </w:p>
    <w:p w14:paraId="2B566CFE" w14:textId="77777777" w:rsidR="0002529A" w:rsidRPr="0002529A" w:rsidRDefault="0002529A" w:rsidP="0002529A">
      <w:pPr>
        <w:jc w:val="both"/>
        <w:rPr>
          <w:rFonts w:ascii="Arial" w:hAnsi="Arial" w:cs="Arial"/>
          <w:bCs/>
          <w:sz w:val="20"/>
          <w:szCs w:val="20"/>
          <w:lang w:val="es-MX"/>
        </w:rPr>
      </w:pPr>
    </w:p>
    <w:p w14:paraId="41B6A257" w14:textId="39F6B5DA" w:rsidR="008561D0" w:rsidRDefault="0002529A" w:rsidP="00BE2CFC">
      <w:pPr>
        <w:pStyle w:val="Prrafodelista"/>
        <w:numPr>
          <w:ilvl w:val="0"/>
          <w:numId w:val="11"/>
        </w:numPr>
        <w:ind w:left="567" w:hanging="567"/>
        <w:jc w:val="both"/>
        <w:rPr>
          <w:rFonts w:ascii="Arial" w:hAnsi="Arial" w:cs="Arial"/>
          <w:bCs/>
          <w:sz w:val="20"/>
          <w:szCs w:val="20"/>
          <w:lang w:val="es-MX"/>
        </w:rPr>
      </w:pPr>
      <w:r w:rsidRPr="008561D0">
        <w:rPr>
          <w:rFonts w:ascii="Arial" w:hAnsi="Arial" w:cs="Arial"/>
          <w:bCs/>
          <w:sz w:val="20"/>
          <w:szCs w:val="20"/>
          <w:lang w:val="es-MX"/>
        </w:rPr>
        <w:t>Nombre o razón social de la entidad aseguradora para la cual se emite la certificación</w:t>
      </w:r>
      <w:r w:rsidR="008561D0">
        <w:rPr>
          <w:rFonts w:ascii="Arial" w:hAnsi="Arial" w:cs="Arial"/>
          <w:bCs/>
          <w:sz w:val="20"/>
          <w:szCs w:val="20"/>
          <w:lang w:val="es-MX"/>
        </w:rPr>
        <w:t>.</w:t>
      </w:r>
    </w:p>
    <w:p w14:paraId="169B5713" w14:textId="77777777" w:rsidR="008561D0" w:rsidRDefault="008561D0" w:rsidP="008561D0">
      <w:pPr>
        <w:pStyle w:val="Prrafodelista"/>
        <w:ind w:left="567"/>
        <w:jc w:val="both"/>
        <w:rPr>
          <w:rFonts w:ascii="Arial" w:hAnsi="Arial" w:cs="Arial"/>
          <w:bCs/>
          <w:sz w:val="20"/>
          <w:szCs w:val="20"/>
          <w:lang w:val="es-MX"/>
        </w:rPr>
      </w:pPr>
    </w:p>
    <w:p w14:paraId="09868BD1" w14:textId="77777777" w:rsidR="008561D0" w:rsidRDefault="0002529A" w:rsidP="00BE2CFC">
      <w:pPr>
        <w:pStyle w:val="Prrafodelista"/>
        <w:numPr>
          <w:ilvl w:val="0"/>
          <w:numId w:val="11"/>
        </w:numPr>
        <w:ind w:left="567" w:hanging="567"/>
        <w:jc w:val="both"/>
        <w:rPr>
          <w:rFonts w:ascii="Arial" w:hAnsi="Arial" w:cs="Arial"/>
          <w:bCs/>
          <w:sz w:val="20"/>
          <w:szCs w:val="20"/>
          <w:lang w:val="es-MX"/>
        </w:rPr>
      </w:pPr>
      <w:r w:rsidRPr="008561D0">
        <w:rPr>
          <w:rFonts w:ascii="Arial" w:hAnsi="Arial" w:cs="Arial"/>
          <w:bCs/>
          <w:sz w:val="20"/>
          <w:szCs w:val="20"/>
          <w:lang w:val="es-MX"/>
        </w:rPr>
        <w:t>Tipo y código de la entidad aseguradora asignado por la SFC</w:t>
      </w:r>
      <w:r w:rsidR="008561D0">
        <w:rPr>
          <w:rFonts w:ascii="Arial" w:hAnsi="Arial" w:cs="Arial"/>
          <w:bCs/>
          <w:sz w:val="20"/>
          <w:szCs w:val="20"/>
          <w:lang w:val="es-MX"/>
        </w:rPr>
        <w:t>.</w:t>
      </w:r>
    </w:p>
    <w:p w14:paraId="09AE9018" w14:textId="77777777" w:rsidR="008561D0" w:rsidRPr="008561D0" w:rsidRDefault="008561D0" w:rsidP="008561D0">
      <w:pPr>
        <w:pStyle w:val="Prrafodelista"/>
        <w:rPr>
          <w:rFonts w:ascii="Arial" w:hAnsi="Arial" w:cs="Arial"/>
          <w:bCs/>
          <w:sz w:val="20"/>
          <w:szCs w:val="20"/>
          <w:lang w:val="es-MX"/>
        </w:rPr>
      </w:pPr>
    </w:p>
    <w:p w14:paraId="4EFA1DC6" w14:textId="5438F44F" w:rsidR="008561D0" w:rsidRDefault="0002529A" w:rsidP="00BE2CFC">
      <w:pPr>
        <w:pStyle w:val="Prrafodelista"/>
        <w:numPr>
          <w:ilvl w:val="0"/>
          <w:numId w:val="11"/>
        </w:numPr>
        <w:ind w:left="567" w:hanging="567"/>
        <w:jc w:val="both"/>
        <w:rPr>
          <w:rFonts w:ascii="Arial" w:hAnsi="Arial" w:cs="Arial"/>
          <w:bCs/>
          <w:sz w:val="20"/>
          <w:szCs w:val="20"/>
          <w:lang w:val="es-MX"/>
        </w:rPr>
      </w:pPr>
      <w:r w:rsidRPr="008561D0">
        <w:rPr>
          <w:rFonts w:ascii="Arial" w:hAnsi="Arial" w:cs="Arial"/>
          <w:bCs/>
          <w:sz w:val="20"/>
          <w:szCs w:val="20"/>
          <w:lang w:val="es-MX"/>
        </w:rPr>
        <w:t xml:space="preserve">Nombre y firma del </w:t>
      </w:r>
      <w:r w:rsidR="006228F4">
        <w:rPr>
          <w:rFonts w:ascii="Arial" w:hAnsi="Arial" w:cs="Arial"/>
          <w:bCs/>
          <w:sz w:val="20"/>
          <w:szCs w:val="20"/>
          <w:lang w:val="es-MX"/>
        </w:rPr>
        <w:t>a</w:t>
      </w:r>
      <w:r w:rsidRPr="008561D0">
        <w:rPr>
          <w:rFonts w:ascii="Arial" w:hAnsi="Arial" w:cs="Arial"/>
          <w:bCs/>
          <w:sz w:val="20"/>
          <w:szCs w:val="20"/>
          <w:lang w:val="es-MX"/>
        </w:rPr>
        <w:t xml:space="preserve">ctuario </w:t>
      </w:r>
      <w:r w:rsidR="006228F4">
        <w:rPr>
          <w:rFonts w:ascii="Arial" w:hAnsi="Arial" w:cs="Arial"/>
          <w:bCs/>
          <w:sz w:val="20"/>
          <w:szCs w:val="20"/>
          <w:lang w:val="es-MX"/>
        </w:rPr>
        <w:t>r</w:t>
      </w:r>
      <w:r w:rsidRPr="008561D0">
        <w:rPr>
          <w:rFonts w:ascii="Arial" w:hAnsi="Arial" w:cs="Arial"/>
          <w:bCs/>
          <w:sz w:val="20"/>
          <w:szCs w:val="20"/>
          <w:lang w:val="es-MX"/>
        </w:rPr>
        <w:t>esponsable</w:t>
      </w:r>
      <w:r w:rsidR="008561D0">
        <w:rPr>
          <w:rFonts w:ascii="Arial" w:hAnsi="Arial" w:cs="Arial"/>
          <w:bCs/>
          <w:sz w:val="20"/>
          <w:szCs w:val="20"/>
          <w:lang w:val="es-MX"/>
        </w:rPr>
        <w:t>.</w:t>
      </w:r>
    </w:p>
    <w:p w14:paraId="6C5505B3" w14:textId="77777777" w:rsidR="008561D0" w:rsidRPr="008561D0" w:rsidRDefault="008561D0" w:rsidP="008561D0">
      <w:pPr>
        <w:pStyle w:val="Prrafodelista"/>
        <w:rPr>
          <w:rFonts w:ascii="Arial" w:hAnsi="Arial" w:cs="Arial"/>
          <w:bCs/>
          <w:sz w:val="20"/>
          <w:szCs w:val="20"/>
          <w:lang w:val="es-MX"/>
        </w:rPr>
      </w:pPr>
    </w:p>
    <w:p w14:paraId="613F42F3" w14:textId="47435E7B" w:rsidR="008561D0" w:rsidRDefault="0002529A" w:rsidP="00BE2CFC">
      <w:pPr>
        <w:pStyle w:val="Prrafodelista"/>
        <w:numPr>
          <w:ilvl w:val="0"/>
          <w:numId w:val="11"/>
        </w:numPr>
        <w:ind w:left="567" w:hanging="567"/>
        <w:jc w:val="both"/>
        <w:rPr>
          <w:rFonts w:ascii="Arial" w:hAnsi="Arial" w:cs="Arial"/>
          <w:bCs/>
          <w:sz w:val="20"/>
          <w:szCs w:val="20"/>
          <w:lang w:val="es-MX"/>
        </w:rPr>
      </w:pPr>
      <w:r w:rsidRPr="008561D0">
        <w:rPr>
          <w:rFonts w:ascii="Arial" w:hAnsi="Arial" w:cs="Arial"/>
          <w:bCs/>
          <w:sz w:val="20"/>
          <w:szCs w:val="20"/>
          <w:lang w:val="es-MX"/>
        </w:rPr>
        <w:t xml:space="preserve">Tipo y número de identificación del </w:t>
      </w:r>
      <w:r w:rsidR="008561D0">
        <w:rPr>
          <w:rFonts w:ascii="Arial" w:hAnsi="Arial" w:cs="Arial"/>
          <w:bCs/>
          <w:sz w:val="20"/>
          <w:szCs w:val="20"/>
          <w:lang w:val="es-MX"/>
        </w:rPr>
        <w:t>a</w:t>
      </w:r>
      <w:r w:rsidRPr="008561D0">
        <w:rPr>
          <w:rFonts w:ascii="Arial" w:hAnsi="Arial" w:cs="Arial"/>
          <w:bCs/>
          <w:sz w:val="20"/>
          <w:szCs w:val="20"/>
          <w:lang w:val="es-MX"/>
        </w:rPr>
        <w:t xml:space="preserve">ctuario </w:t>
      </w:r>
      <w:r w:rsidR="008561D0">
        <w:rPr>
          <w:rFonts w:ascii="Arial" w:hAnsi="Arial" w:cs="Arial"/>
          <w:bCs/>
          <w:sz w:val="20"/>
          <w:szCs w:val="20"/>
          <w:lang w:val="es-MX"/>
        </w:rPr>
        <w:t>r</w:t>
      </w:r>
      <w:r w:rsidRPr="008561D0">
        <w:rPr>
          <w:rFonts w:ascii="Arial" w:hAnsi="Arial" w:cs="Arial"/>
          <w:bCs/>
          <w:sz w:val="20"/>
          <w:szCs w:val="20"/>
          <w:lang w:val="es-MX"/>
        </w:rPr>
        <w:t>esponsable</w:t>
      </w:r>
      <w:r w:rsidR="008561D0">
        <w:rPr>
          <w:rFonts w:ascii="Arial" w:hAnsi="Arial" w:cs="Arial"/>
          <w:bCs/>
          <w:sz w:val="20"/>
          <w:szCs w:val="20"/>
          <w:lang w:val="es-MX"/>
        </w:rPr>
        <w:t>.</w:t>
      </w:r>
    </w:p>
    <w:p w14:paraId="52F8423D" w14:textId="77777777" w:rsidR="008561D0" w:rsidRPr="008561D0" w:rsidRDefault="008561D0" w:rsidP="008561D0">
      <w:pPr>
        <w:pStyle w:val="Prrafodelista"/>
        <w:rPr>
          <w:rFonts w:ascii="Arial" w:hAnsi="Arial" w:cs="Arial"/>
          <w:bCs/>
          <w:sz w:val="20"/>
          <w:szCs w:val="20"/>
          <w:lang w:val="es-MX"/>
        </w:rPr>
      </w:pPr>
    </w:p>
    <w:p w14:paraId="7F8A67B4" w14:textId="68113DDB" w:rsidR="008561D0" w:rsidRDefault="0002529A" w:rsidP="00BE2CFC">
      <w:pPr>
        <w:pStyle w:val="Prrafodelista"/>
        <w:numPr>
          <w:ilvl w:val="0"/>
          <w:numId w:val="11"/>
        </w:numPr>
        <w:ind w:left="567" w:hanging="567"/>
        <w:jc w:val="both"/>
        <w:rPr>
          <w:rFonts w:ascii="Arial" w:hAnsi="Arial" w:cs="Arial"/>
          <w:bCs/>
          <w:sz w:val="20"/>
          <w:szCs w:val="20"/>
          <w:lang w:val="es-MX"/>
        </w:rPr>
      </w:pPr>
      <w:r w:rsidRPr="008561D0">
        <w:rPr>
          <w:rFonts w:ascii="Arial" w:hAnsi="Arial" w:cs="Arial"/>
          <w:bCs/>
          <w:sz w:val="20"/>
          <w:szCs w:val="20"/>
          <w:lang w:val="es-MX"/>
        </w:rPr>
        <w:t xml:space="preserve">Número y </w:t>
      </w:r>
      <w:r w:rsidR="008561D0">
        <w:rPr>
          <w:rFonts w:ascii="Arial" w:hAnsi="Arial" w:cs="Arial"/>
          <w:bCs/>
          <w:sz w:val="20"/>
          <w:szCs w:val="20"/>
          <w:lang w:val="es-MX"/>
        </w:rPr>
        <w:t>f</w:t>
      </w:r>
      <w:r w:rsidRPr="008561D0">
        <w:rPr>
          <w:rFonts w:ascii="Arial" w:hAnsi="Arial" w:cs="Arial"/>
          <w:bCs/>
          <w:sz w:val="20"/>
          <w:szCs w:val="20"/>
          <w:lang w:val="es-MX"/>
        </w:rPr>
        <w:t xml:space="preserve">echa del acta de nombramiento del </w:t>
      </w:r>
      <w:r w:rsidR="006228F4">
        <w:rPr>
          <w:rFonts w:ascii="Arial" w:hAnsi="Arial" w:cs="Arial"/>
          <w:bCs/>
          <w:sz w:val="20"/>
          <w:szCs w:val="20"/>
          <w:lang w:val="es-MX"/>
        </w:rPr>
        <w:t>a</w:t>
      </w:r>
      <w:r w:rsidRPr="008561D0">
        <w:rPr>
          <w:rFonts w:ascii="Arial" w:hAnsi="Arial" w:cs="Arial"/>
          <w:bCs/>
          <w:sz w:val="20"/>
          <w:szCs w:val="20"/>
          <w:lang w:val="es-MX"/>
        </w:rPr>
        <w:t xml:space="preserve">ctuario </w:t>
      </w:r>
      <w:r w:rsidR="006228F4">
        <w:rPr>
          <w:rFonts w:ascii="Arial" w:hAnsi="Arial" w:cs="Arial"/>
          <w:bCs/>
          <w:sz w:val="20"/>
          <w:szCs w:val="20"/>
          <w:lang w:val="es-MX"/>
        </w:rPr>
        <w:t>r</w:t>
      </w:r>
      <w:r w:rsidRPr="008561D0">
        <w:rPr>
          <w:rFonts w:ascii="Arial" w:hAnsi="Arial" w:cs="Arial"/>
          <w:bCs/>
          <w:sz w:val="20"/>
          <w:szCs w:val="20"/>
          <w:lang w:val="es-MX"/>
        </w:rPr>
        <w:t>esponsable por parte de la junta directiva</w:t>
      </w:r>
      <w:r w:rsidR="0099188E">
        <w:rPr>
          <w:rFonts w:ascii="Arial" w:hAnsi="Arial" w:cs="Arial"/>
          <w:bCs/>
          <w:sz w:val="20"/>
          <w:szCs w:val="20"/>
          <w:lang w:val="es-MX"/>
        </w:rPr>
        <w:t>.</w:t>
      </w:r>
    </w:p>
    <w:p w14:paraId="7BB94DE3" w14:textId="77777777" w:rsidR="008561D0" w:rsidRPr="008561D0" w:rsidRDefault="008561D0" w:rsidP="008561D0">
      <w:pPr>
        <w:pStyle w:val="Prrafodelista"/>
        <w:rPr>
          <w:rFonts w:ascii="Arial" w:hAnsi="Arial" w:cs="Arial"/>
          <w:bCs/>
          <w:sz w:val="20"/>
          <w:szCs w:val="20"/>
          <w:lang w:val="es-MX"/>
        </w:rPr>
      </w:pPr>
    </w:p>
    <w:p w14:paraId="351CBCFD" w14:textId="710CC22A" w:rsidR="008561D0" w:rsidRDefault="0002529A" w:rsidP="00BE2CFC">
      <w:pPr>
        <w:pStyle w:val="Prrafodelista"/>
        <w:numPr>
          <w:ilvl w:val="0"/>
          <w:numId w:val="11"/>
        </w:numPr>
        <w:ind w:left="567" w:hanging="567"/>
        <w:jc w:val="both"/>
        <w:rPr>
          <w:rFonts w:ascii="Arial" w:hAnsi="Arial" w:cs="Arial"/>
          <w:bCs/>
          <w:sz w:val="20"/>
          <w:szCs w:val="20"/>
          <w:lang w:val="es-MX"/>
        </w:rPr>
      </w:pPr>
      <w:r w:rsidRPr="008561D0">
        <w:rPr>
          <w:rFonts w:ascii="Arial" w:hAnsi="Arial" w:cs="Arial"/>
          <w:bCs/>
          <w:sz w:val="20"/>
          <w:szCs w:val="20"/>
          <w:lang w:val="es-MX"/>
        </w:rPr>
        <w:t>Fecha de corte objeto de certificación</w:t>
      </w:r>
      <w:r w:rsidR="006228F4">
        <w:rPr>
          <w:rFonts w:ascii="Arial" w:hAnsi="Arial" w:cs="Arial"/>
          <w:bCs/>
          <w:sz w:val="20"/>
          <w:szCs w:val="20"/>
          <w:lang w:val="es-MX"/>
        </w:rPr>
        <w:t>.</w:t>
      </w:r>
    </w:p>
    <w:p w14:paraId="2A8AFF7E" w14:textId="77777777" w:rsidR="008561D0" w:rsidRPr="008561D0" w:rsidRDefault="008561D0" w:rsidP="008561D0">
      <w:pPr>
        <w:pStyle w:val="Prrafodelista"/>
        <w:rPr>
          <w:rFonts w:ascii="Arial" w:hAnsi="Arial" w:cs="Arial"/>
          <w:bCs/>
          <w:sz w:val="20"/>
          <w:szCs w:val="20"/>
          <w:lang w:val="es-MX"/>
        </w:rPr>
      </w:pPr>
    </w:p>
    <w:p w14:paraId="456AA834" w14:textId="1469C5D9" w:rsidR="008561D0" w:rsidRDefault="0002529A" w:rsidP="00BE2CFC">
      <w:pPr>
        <w:pStyle w:val="Prrafodelista"/>
        <w:numPr>
          <w:ilvl w:val="0"/>
          <w:numId w:val="11"/>
        </w:numPr>
        <w:ind w:left="567" w:hanging="567"/>
        <w:jc w:val="both"/>
        <w:rPr>
          <w:rFonts w:ascii="Arial" w:hAnsi="Arial" w:cs="Arial"/>
          <w:bCs/>
          <w:sz w:val="20"/>
          <w:szCs w:val="20"/>
          <w:lang w:val="es-MX"/>
        </w:rPr>
      </w:pPr>
      <w:r w:rsidRPr="008561D0">
        <w:rPr>
          <w:rFonts w:ascii="Arial" w:hAnsi="Arial" w:cs="Arial"/>
          <w:bCs/>
          <w:sz w:val="20"/>
          <w:szCs w:val="20"/>
          <w:lang w:val="es-MX"/>
        </w:rPr>
        <w:t xml:space="preserve">Número de afiliación o membresía y nombre de la asociación de actuarios a la que pertenece el </w:t>
      </w:r>
      <w:r w:rsidR="006228F4">
        <w:rPr>
          <w:rFonts w:ascii="Arial" w:hAnsi="Arial" w:cs="Arial"/>
          <w:bCs/>
          <w:sz w:val="20"/>
          <w:szCs w:val="20"/>
          <w:lang w:val="es-MX"/>
        </w:rPr>
        <w:t>a</w:t>
      </w:r>
      <w:r w:rsidRPr="008561D0">
        <w:rPr>
          <w:rFonts w:ascii="Arial" w:hAnsi="Arial" w:cs="Arial"/>
          <w:bCs/>
          <w:sz w:val="20"/>
          <w:szCs w:val="20"/>
          <w:lang w:val="es-MX"/>
        </w:rPr>
        <w:t xml:space="preserve">ctuario </w:t>
      </w:r>
      <w:r w:rsidR="006228F4">
        <w:rPr>
          <w:rFonts w:ascii="Arial" w:hAnsi="Arial" w:cs="Arial"/>
          <w:bCs/>
          <w:sz w:val="20"/>
          <w:szCs w:val="20"/>
          <w:lang w:val="es-MX"/>
        </w:rPr>
        <w:t>r</w:t>
      </w:r>
      <w:r w:rsidRPr="008561D0">
        <w:rPr>
          <w:rFonts w:ascii="Arial" w:hAnsi="Arial" w:cs="Arial"/>
          <w:bCs/>
          <w:sz w:val="20"/>
          <w:szCs w:val="20"/>
          <w:lang w:val="es-MX"/>
        </w:rPr>
        <w:t>esponsable, cuando sea aplicable.</w:t>
      </w:r>
    </w:p>
    <w:p w14:paraId="27C39E45" w14:textId="77777777" w:rsidR="008561D0" w:rsidRPr="008561D0" w:rsidRDefault="008561D0" w:rsidP="00CD4760">
      <w:pPr>
        <w:rPr>
          <w:rFonts w:ascii="Arial" w:hAnsi="Arial" w:cs="Arial"/>
          <w:bCs/>
          <w:sz w:val="20"/>
          <w:szCs w:val="20"/>
          <w:lang w:val="es-MX"/>
        </w:rPr>
      </w:pPr>
    </w:p>
    <w:p w14:paraId="77BBAC80" w14:textId="7E595C98" w:rsidR="008561D0" w:rsidRPr="005E1D69" w:rsidRDefault="00A058C2" w:rsidP="00BE2CFC">
      <w:pPr>
        <w:pStyle w:val="Prrafodelista"/>
        <w:numPr>
          <w:ilvl w:val="1"/>
          <w:numId w:val="10"/>
        </w:numPr>
        <w:ind w:left="851" w:hanging="851"/>
        <w:jc w:val="both"/>
        <w:rPr>
          <w:rFonts w:ascii="Arial" w:hAnsi="Arial" w:cs="Arial"/>
          <w:b/>
          <w:sz w:val="20"/>
          <w:szCs w:val="20"/>
          <w:lang w:val="es-MX"/>
        </w:rPr>
      </w:pPr>
      <w:r>
        <w:rPr>
          <w:rFonts w:ascii="Arial" w:hAnsi="Arial" w:cs="Arial"/>
          <w:b/>
          <w:sz w:val="20"/>
          <w:szCs w:val="20"/>
          <w:lang w:val="es-MX"/>
        </w:rPr>
        <w:t>Declaración</w:t>
      </w:r>
      <w:r w:rsidR="0002529A" w:rsidRPr="005E1D69">
        <w:rPr>
          <w:rFonts w:ascii="Arial" w:hAnsi="Arial" w:cs="Arial"/>
          <w:b/>
          <w:sz w:val="20"/>
          <w:szCs w:val="20"/>
          <w:lang w:val="es-MX"/>
        </w:rPr>
        <w:t xml:space="preserve"> de suficiencia de las reservas técnicas</w:t>
      </w:r>
    </w:p>
    <w:p w14:paraId="703A9E46" w14:textId="77777777" w:rsidR="0002529A" w:rsidRPr="0002529A" w:rsidRDefault="0002529A" w:rsidP="0002529A">
      <w:pPr>
        <w:jc w:val="both"/>
        <w:rPr>
          <w:rFonts w:ascii="Arial" w:hAnsi="Arial" w:cs="Arial"/>
          <w:bCs/>
          <w:sz w:val="20"/>
          <w:szCs w:val="20"/>
          <w:lang w:val="es-MX"/>
        </w:rPr>
      </w:pPr>
    </w:p>
    <w:p w14:paraId="13D6D566" w14:textId="0D1B4D06" w:rsidR="0002529A" w:rsidRP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El </w:t>
      </w:r>
      <w:r w:rsidR="00E15595">
        <w:rPr>
          <w:rFonts w:ascii="Arial" w:hAnsi="Arial" w:cs="Arial"/>
          <w:bCs/>
          <w:sz w:val="20"/>
          <w:szCs w:val="20"/>
          <w:lang w:val="es-MX"/>
        </w:rPr>
        <w:t>a</w:t>
      </w:r>
      <w:r w:rsidRPr="0002529A">
        <w:rPr>
          <w:rFonts w:ascii="Arial" w:hAnsi="Arial" w:cs="Arial"/>
          <w:bCs/>
          <w:sz w:val="20"/>
          <w:szCs w:val="20"/>
          <w:lang w:val="es-MX"/>
        </w:rPr>
        <w:t xml:space="preserve">ctuario </w:t>
      </w:r>
      <w:r w:rsidR="00E15595">
        <w:rPr>
          <w:rFonts w:ascii="Arial" w:hAnsi="Arial" w:cs="Arial"/>
          <w:bCs/>
          <w:sz w:val="20"/>
          <w:szCs w:val="20"/>
          <w:lang w:val="es-MX"/>
        </w:rPr>
        <w:t>r</w:t>
      </w:r>
      <w:r w:rsidRPr="0002529A">
        <w:rPr>
          <w:rFonts w:ascii="Arial" w:hAnsi="Arial" w:cs="Arial"/>
          <w:bCs/>
          <w:sz w:val="20"/>
          <w:szCs w:val="20"/>
          <w:lang w:val="es-MX"/>
        </w:rPr>
        <w:t xml:space="preserve">esponsable debe expresar, de manera clara y concisa, un juicio sobre si las reservas técnicas constituidas por la entidad aseguradora son suficientes para respaldar las obligaciones contraídas en los contratos de seguro y si cumplen las exigencias regulatorias vigentes. Para el efecto, la certificación del actuario </w:t>
      </w:r>
      <w:r w:rsidR="00864603">
        <w:rPr>
          <w:rFonts w:ascii="Arial" w:hAnsi="Arial" w:cs="Arial"/>
          <w:bCs/>
          <w:sz w:val="20"/>
          <w:szCs w:val="20"/>
          <w:lang w:val="es-MX"/>
        </w:rPr>
        <w:t xml:space="preserve">responsable </w:t>
      </w:r>
      <w:r w:rsidRPr="0002529A">
        <w:rPr>
          <w:rFonts w:ascii="Arial" w:hAnsi="Arial" w:cs="Arial"/>
          <w:bCs/>
          <w:sz w:val="20"/>
          <w:szCs w:val="20"/>
          <w:lang w:val="es-MX"/>
        </w:rPr>
        <w:t xml:space="preserve">debe incluir </w:t>
      </w:r>
      <w:r w:rsidR="00B946EB">
        <w:rPr>
          <w:rFonts w:ascii="Arial" w:hAnsi="Arial" w:cs="Arial"/>
          <w:bCs/>
          <w:sz w:val="20"/>
          <w:szCs w:val="20"/>
          <w:lang w:val="es-MX"/>
        </w:rPr>
        <w:t>el análisis de</w:t>
      </w:r>
      <w:r w:rsidRPr="0002529A">
        <w:rPr>
          <w:rFonts w:ascii="Arial" w:hAnsi="Arial" w:cs="Arial"/>
          <w:bCs/>
          <w:sz w:val="20"/>
          <w:szCs w:val="20"/>
          <w:lang w:val="es-MX"/>
        </w:rPr>
        <w:t xml:space="preserve"> variables tales como horizontes de tiempo, niveles o intervalos de confianza, supuestos e hipótesis acordes con la naturaleza de los ramos sobre los cuales se emite la certificación</w:t>
      </w:r>
      <w:r w:rsidR="00B946EB">
        <w:rPr>
          <w:rFonts w:ascii="Arial" w:hAnsi="Arial" w:cs="Arial"/>
          <w:bCs/>
          <w:sz w:val="20"/>
          <w:szCs w:val="20"/>
          <w:lang w:val="es-MX"/>
        </w:rPr>
        <w:t>, entre otras</w:t>
      </w:r>
      <w:r w:rsidRPr="0002529A">
        <w:rPr>
          <w:rFonts w:ascii="Arial" w:hAnsi="Arial" w:cs="Arial"/>
          <w:bCs/>
          <w:sz w:val="20"/>
          <w:szCs w:val="20"/>
          <w:lang w:val="es-MX"/>
        </w:rPr>
        <w:t>. La declaración de suficiencia no debe contener afirmaciones ambiguas o que no den certeza sobre el juicio de suficiencia.</w:t>
      </w:r>
    </w:p>
    <w:p w14:paraId="33C5682C" w14:textId="77777777" w:rsidR="0002529A" w:rsidRPr="0002529A" w:rsidRDefault="0002529A" w:rsidP="0002529A">
      <w:pPr>
        <w:jc w:val="both"/>
        <w:rPr>
          <w:rFonts w:ascii="Arial" w:hAnsi="Arial" w:cs="Arial"/>
          <w:bCs/>
          <w:sz w:val="20"/>
          <w:szCs w:val="20"/>
          <w:lang w:val="es-MX"/>
        </w:rPr>
      </w:pPr>
    </w:p>
    <w:p w14:paraId="373A29B7" w14:textId="3FE1F8F9" w:rsidR="0002529A" w:rsidRP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Para la emisión del concepto de </w:t>
      </w:r>
      <w:r w:rsidR="00C26951">
        <w:rPr>
          <w:rFonts w:ascii="Arial" w:hAnsi="Arial" w:cs="Arial"/>
          <w:bCs/>
          <w:sz w:val="20"/>
          <w:szCs w:val="20"/>
          <w:lang w:val="es-MX"/>
        </w:rPr>
        <w:t>suficiencia</w:t>
      </w:r>
      <w:r w:rsidRPr="0002529A">
        <w:rPr>
          <w:rFonts w:ascii="Arial" w:hAnsi="Arial" w:cs="Arial"/>
          <w:bCs/>
          <w:sz w:val="20"/>
          <w:szCs w:val="20"/>
          <w:lang w:val="es-MX"/>
        </w:rPr>
        <w:t xml:space="preserve">, el </w:t>
      </w:r>
      <w:r w:rsidR="00C26951">
        <w:rPr>
          <w:rFonts w:ascii="Arial" w:hAnsi="Arial" w:cs="Arial"/>
          <w:bCs/>
          <w:sz w:val="20"/>
          <w:szCs w:val="20"/>
          <w:lang w:val="es-MX"/>
        </w:rPr>
        <w:t>a</w:t>
      </w:r>
      <w:r w:rsidRPr="0002529A">
        <w:rPr>
          <w:rFonts w:ascii="Arial" w:hAnsi="Arial" w:cs="Arial"/>
          <w:bCs/>
          <w:sz w:val="20"/>
          <w:szCs w:val="20"/>
          <w:lang w:val="es-MX"/>
        </w:rPr>
        <w:t xml:space="preserve">ctuario </w:t>
      </w:r>
      <w:r w:rsidR="00C26951">
        <w:rPr>
          <w:rFonts w:ascii="Arial" w:hAnsi="Arial" w:cs="Arial"/>
          <w:bCs/>
          <w:sz w:val="20"/>
          <w:szCs w:val="20"/>
          <w:lang w:val="es-MX"/>
        </w:rPr>
        <w:t>r</w:t>
      </w:r>
      <w:r w:rsidRPr="0002529A">
        <w:rPr>
          <w:rFonts w:ascii="Arial" w:hAnsi="Arial" w:cs="Arial"/>
          <w:bCs/>
          <w:sz w:val="20"/>
          <w:szCs w:val="20"/>
          <w:lang w:val="es-MX"/>
        </w:rPr>
        <w:t>esponsable debe verificar que exist</w:t>
      </w:r>
      <w:r w:rsidR="004A405C">
        <w:rPr>
          <w:rFonts w:ascii="Arial" w:hAnsi="Arial" w:cs="Arial"/>
          <w:bCs/>
          <w:sz w:val="20"/>
          <w:szCs w:val="20"/>
          <w:lang w:val="es-MX"/>
        </w:rPr>
        <w:t>a</w:t>
      </w:r>
      <w:r w:rsidRPr="0002529A">
        <w:rPr>
          <w:rFonts w:ascii="Arial" w:hAnsi="Arial" w:cs="Arial"/>
          <w:bCs/>
          <w:sz w:val="20"/>
          <w:szCs w:val="20"/>
          <w:lang w:val="es-MX"/>
        </w:rPr>
        <w:t xml:space="preserve"> coherencia entre sus estimaciones del monto </w:t>
      </w:r>
      <w:r w:rsidR="00B93CDF">
        <w:rPr>
          <w:rFonts w:ascii="Arial" w:hAnsi="Arial" w:cs="Arial"/>
          <w:bCs/>
          <w:sz w:val="20"/>
          <w:szCs w:val="20"/>
          <w:lang w:val="es-MX"/>
        </w:rPr>
        <w:t>de</w:t>
      </w:r>
      <w:r w:rsidRPr="0002529A">
        <w:rPr>
          <w:rFonts w:ascii="Arial" w:hAnsi="Arial" w:cs="Arial"/>
          <w:bCs/>
          <w:sz w:val="20"/>
          <w:szCs w:val="20"/>
          <w:lang w:val="es-MX"/>
        </w:rPr>
        <w:t xml:space="preserve"> las reservas técnicas y la información reportada por la entidad aseguradora en los estados financieros. De igual forma</w:t>
      </w:r>
      <w:r w:rsidR="00325D61">
        <w:rPr>
          <w:rFonts w:ascii="Arial" w:hAnsi="Arial" w:cs="Arial"/>
          <w:bCs/>
          <w:sz w:val="20"/>
          <w:szCs w:val="20"/>
          <w:lang w:val="es-MX"/>
        </w:rPr>
        <w:t>, el actuario responsable</w:t>
      </w:r>
      <w:r w:rsidRPr="0002529A">
        <w:rPr>
          <w:rFonts w:ascii="Arial" w:hAnsi="Arial" w:cs="Arial"/>
          <w:bCs/>
          <w:sz w:val="20"/>
          <w:szCs w:val="20"/>
          <w:lang w:val="es-MX"/>
        </w:rPr>
        <w:t xml:space="preserve"> debe</w:t>
      </w:r>
      <w:r w:rsidR="00325D61">
        <w:rPr>
          <w:rFonts w:ascii="Arial" w:hAnsi="Arial" w:cs="Arial"/>
          <w:bCs/>
          <w:sz w:val="20"/>
          <w:szCs w:val="20"/>
          <w:lang w:val="es-MX"/>
        </w:rPr>
        <w:t xml:space="preserve"> </w:t>
      </w:r>
      <w:r w:rsidRPr="0002529A">
        <w:rPr>
          <w:rFonts w:ascii="Arial" w:hAnsi="Arial" w:cs="Arial"/>
          <w:bCs/>
          <w:sz w:val="20"/>
          <w:szCs w:val="20"/>
          <w:lang w:val="es-MX"/>
        </w:rPr>
        <w:t xml:space="preserve">establecer, </w:t>
      </w:r>
      <w:r w:rsidR="00B93CDF">
        <w:rPr>
          <w:rFonts w:ascii="Arial" w:hAnsi="Arial" w:cs="Arial"/>
          <w:bCs/>
          <w:sz w:val="20"/>
          <w:szCs w:val="20"/>
          <w:lang w:val="es-MX"/>
        </w:rPr>
        <w:t>cuando</w:t>
      </w:r>
      <w:r w:rsidRPr="0002529A">
        <w:rPr>
          <w:rFonts w:ascii="Arial" w:hAnsi="Arial" w:cs="Arial"/>
          <w:bCs/>
          <w:sz w:val="20"/>
          <w:szCs w:val="20"/>
          <w:lang w:val="es-MX"/>
        </w:rPr>
        <w:t xml:space="preserve"> aplique, la cuantía de las </w:t>
      </w:r>
      <w:r w:rsidRPr="00257863">
        <w:rPr>
          <w:rFonts w:ascii="Arial" w:hAnsi="Arial" w:cs="Arial"/>
          <w:sz w:val="20"/>
          <w:szCs w:val="20"/>
          <w:lang w:val="es-MX"/>
        </w:rPr>
        <w:t>desviaciones</w:t>
      </w:r>
      <w:r w:rsidRPr="0002529A">
        <w:rPr>
          <w:rFonts w:ascii="Arial" w:hAnsi="Arial" w:cs="Arial"/>
          <w:bCs/>
          <w:sz w:val="20"/>
          <w:szCs w:val="20"/>
          <w:lang w:val="es-MX"/>
        </w:rPr>
        <w:t xml:space="preserve"> que se </w:t>
      </w:r>
      <w:r w:rsidRPr="00257863">
        <w:rPr>
          <w:rFonts w:ascii="Arial" w:hAnsi="Arial" w:cs="Arial"/>
          <w:bCs/>
          <w:sz w:val="20"/>
          <w:szCs w:val="20"/>
          <w:lang w:val="es-MX"/>
        </w:rPr>
        <w:t>haya</w:t>
      </w:r>
      <w:r w:rsidR="004A405C">
        <w:rPr>
          <w:rFonts w:ascii="Arial" w:hAnsi="Arial" w:cs="Arial"/>
          <w:bCs/>
          <w:sz w:val="20"/>
          <w:szCs w:val="20"/>
          <w:lang w:val="es-MX"/>
        </w:rPr>
        <w:t>n</w:t>
      </w:r>
      <w:r w:rsidRPr="0002529A">
        <w:rPr>
          <w:rFonts w:ascii="Arial" w:hAnsi="Arial" w:cs="Arial"/>
          <w:bCs/>
          <w:sz w:val="20"/>
          <w:szCs w:val="20"/>
          <w:lang w:val="es-MX"/>
        </w:rPr>
        <w:t xml:space="preserve"> detectado en cada reserva técnica por ramo o </w:t>
      </w:r>
      <w:r w:rsidR="00621AB1">
        <w:rPr>
          <w:rFonts w:ascii="Arial" w:hAnsi="Arial" w:cs="Arial"/>
          <w:bCs/>
          <w:sz w:val="20"/>
          <w:szCs w:val="20"/>
          <w:lang w:val="es-MX"/>
        </w:rPr>
        <w:t xml:space="preserve">por </w:t>
      </w:r>
      <w:r w:rsidRPr="0002529A">
        <w:rPr>
          <w:rFonts w:ascii="Arial" w:hAnsi="Arial" w:cs="Arial"/>
          <w:bCs/>
          <w:sz w:val="20"/>
          <w:szCs w:val="20"/>
          <w:lang w:val="es-MX"/>
        </w:rPr>
        <w:t>tipo de reserva</w:t>
      </w:r>
      <w:r w:rsidR="00AA2095">
        <w:rPr>
          <w:rFonts w:ascii="Arial" w:hAnsi="Arial" w:cs="Arial"/>
          <w:bCs/>
          <w:sz w:val="20"/>
          <w:szCs w:val="20"/>
          <w:lang w:val="es-MX"/>
        </w:rPr>
        <w:t xml:space="preserve"> frente a las estimaciones del actuario responsable.</w:t>
      </w:r>
    </w:p>
    <w:p w14:paraId="2F4ED921" w14:textId="77777777" w:rsidR="0002529A" w:rsidRPr="0002529A" w:rsidRDefault="0002529A" w:rsidP="0002529A">
      <w:pPr>
        <w:jc w:val="both"/>
        <w:rPr>
          <w:rFonts w:ascii="Arial" w:hAnsi="Arial" w:cs="Arial"/>
          <w:bCs/>
          <w:sz w:val="20"/>
          <w:szCs w:val="20"/>
          <w:lang w:val="es-MX"/>
        </w:rPr>
      </w:pPr>
    </w:p>
    <w:p w14:paraId="7EEC889F" w14:textId="33F2CC3E" w:rsidR="0002529A" w:rsidRP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El </w:t>
      </w:r>
      <w:r w:rsidR="00A13F48">
        <w:rPr>
          <w:rFonts w:ascii="Arial" w:hAnsi="Arial" w:cs="Arial"/>
          <w:bCs/>
          <w:sz w:val="20"/>
          <w:szCs w:val="20"/>
          <w:lang w:val="es-MX"/>
        </w:rPr>
        <w:t>a</w:t>
      </w:r>
      <w:r w:rsidRPr="0002529A">
        <w:rPr>
          <w:rFonts w:ascii="Arial" w:hAnsi="Arial" w:cs="Arial"/>
          <w:bCs/>
          <w:sz w:val="20"/>
          <w:szCs w:val="20"/>
          <w:lang w:val="es-MX"/>
        </w:rPr>
        <w:t xml:space="preserve">ctuario </w:t>
      </w:r>
      <w:r w:rsidR="00A13F48">
        <w:rPr>
          <w:rFonts w:ascii="Arial" w:hAnsi="Arial" w:cs="Arial"/>
          <w:bCs/>
          <w:sz w:val="20"/>
          <w:szCs w:val="20"/>
          <w:lang w:val="es-MX"/>
        </w:rPr>
        <w:t>r</w:t>
      </w:r>
      <w:r w:rsidRPr="0002529A">
        <w:rPr>
          <w:rFonts w:ascii="Arial" w:hAnsi="Arial" w:cs="Arial"/>
          <w:bCs/>
          <w:sz w:val="20"/>
          <w:szCs w:val="20"/>
          <w:lang w:val="es-MX"/>
        </w:rPr>
        <w:t xml:space="preserve">esponsable debe firmar la declaración de suficiencia de reservas técnicas y con ello certifica que el documento fue elaborado y emitido de manera libre e independiente, de conformidad con </w:t>
      </w:r>
      <w:r w:rsidR="0082556A">
        <w:rPr>
          <w:rFonts w:ascii="Arial" w:hAnsi="Arial" w:cs="Arial"/>
          <w:bCs/>
          <w:sz w:val="20"/>
          <w:szCs w:val="20"/>
          <w:lang w:val="es-MX"/>
        </w:rPr>
        <w:t>las instrucciones d</w:t>
      </w:r>
      <w:r w:rsidRPr="0002529A">
        <w:rPr>
          <w:rFonts w:ascii="Arial" w:hAnsi="Arial" w:cs="Arial"/>
          <w:bCs/>
          <w:sz w:val="20"/>
          <w:szCs w:val="20"/>
          <w:lang w:val="es-MX"/>
        </w:rPr>
        <w:t>el numeral 6.2.4 de</w:t>
      </w:r>
      <w:r w:rsidR="00A11ECA">
        <w:rPr>
          <w:rFonts w:ascii="Arial" w:hAnsi="Arial" w:cs="Arial"/>
          <w:bCs/>
          <w:sz w:val="20"/>
          <w:szCs w:val="20"/>
          <w:lang w:val="es-MX"/>
        </w:rPr>
        <w:t>l capítulo II del título IV de la parte II de la C</w:t>
      </w:r>
      <w:r w:rsidR="008105DF">
        <w:rPr>
          <w:rFonts w:ascii="Arial" w:hAnsi="Arial" w:cs="Arial"/>
          <w:bCs/>
          <w:sz w:val="20"/>
          <w:szCs w:val="20"/>
          <w:lang w:val="es-MX"/>
        </w:rPr>
        <w:t>BJ.</w:t>
      </w:r>
    </w:p>
    <w:p w14:paraId="53424075" w14:textId="77777777" w:rsidR="0002529A" w:rsidRDefault="0002529A" w:rsidP="0002529A">
      <w:pPr>
        <w:jc w:val="both"/>
        <w:rPr>
          <w:rFonts w:ascii="Arial" w:hAnsi="Arial" w:cs="Arial"/>
          <w:b/>
          <w:sz w:val="20"/>
          <w:szCs w:val="20"/>
          <w:lang w:val="es-MX"/>
        </w:rPr>
      </w:pPr>
    </w:p>
    <w:p w14:paraId="70B2A662" w14:textId="77777777" w:rsidR="000F2AC9" w:rsidRDefault="000F2AC9" w:rsidP="0002529A">
      <w:pPr>
        <w:jc w:val="both"/>
        <w:rPr>
          <w:rFonts w:ascii="Arial" w:hAnsi="Arial" w:cs="Arial"/>
          <w:b/>
          <w:sz w:val="20"/>
          <w:szCs w:val="20"/>
          <w:lang w:val="es-MX"/>
        </w:rPr>
      </w:pPr>
    </w:p>
    <w:p w14:paraId="47212662" w14:textId="77777777" w:rsidR="000F2AC9" w:rsidRDefault="000F2AC9" w:rsidP="0002529A">
      <w:pPr>
        <w:jc w:val="both"/>
        <w:rPr>
          <w:rFonts w:ascii="Arial" w:hAnsi="Arial" w:cs="Arial"/>
          <w:b/>
          <w:sz w:val="20"/>
          <w:szCs w:val="20"/>
          <w:lang w:val="es-MX"/>
        </w:rPr>
      </w:pPr>
    </w:p>
    <w:p w14:paraId="380D6A44" w14:textId="77777777" w:rsidR="000F2AC9" w:rsidRPr="007036C7" w:rsidRDefault="000F2AC9" w:rsidP="0002529A">
      <w:pPr>
        <w:jc w:val="both"/>
        <w:rPr>
          <w:rFonts w:ascii="Arial" w:hAnsi="Arial" w:cs="Arial"/>
          <w:b/>
          <w:sz w:val="20"/>
          <w:szCs w:val="20"/>
          <w:lang w:val="es-MX"/>
        </w:rPr>
      </w:pPr>
    </w:p>
    <w:p w14:paraId="2FAFBCB8" w14:textId="05CCB9C6" w:rsidR="0002529A" w:rsidRPr="007036C7" w:rsidRDefault="0002529A" w:rsidP="00BE2CFC">
      <w:pPr>
        <w:pStyle w:val="Prrafodelista"/>
        <w:numPr>
          <w:ilvl w:val="1"/>
          <w:numId w:val="10"/>
        </w:numPr>
        <w:ind w:left="851" w:hanging="851"/>
        <w:jc w:val="both"/>
        <w:rPr>
          <w:rFonts w:ascii="Arial" w:hAnsi="Arial" w:cs="Arial"/>
          <w:b/>
          <w:sz w:val="20"/>
          <w:szCs w:val="20"/>
          <w:lang w:val="es-MX"/>
        </w:rPr>
      </w:pPr>
      <w:r w:rsidRPr="007036C7">
        <w:rPr>
          <w:rFonts w:ascii="Arial" w:hAnsi="Arial" w:cs="Arial"/>
          <w:b/>
          <w:sz w:val="20"/>
          <w:szCs w:val="20"/>
          <w:lang w:val="es-MX"/>
        </w:rPr>
        <w:lastRenderedPageBreak/>
        <w:t>Soportes de las declaraciones de suficiencia</w:t>
      </w:r>
    </w:p>
    <w:p w14:paraId="03E7AE1F" w14:textId="77777777" w:rsidR="0002529A" w:rsidRPr="0002529A" w:rsidRDefault="0002529A" w:rsidP="0002529A">
      <w:pPr>
        <w:jc w:val="both"/>
        <w:rPr>
          <w:rFonts w:ascii="Arial" w:hAnsi="Arial" w:cs="Arial"/>
          <w:bCs/>
          <w:sz w:val="20"/>
          <w:szCs w:val="20"/>
          <w:lang w:val="es-MX"/>
        </w:rPr>
      </w:pPr>
    </w:p>
    <w:p w14:paraId="6A0F957B" w14:textId="1427C722" w:rsidR="0002529A" w:rsidRP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Junto con la certificación de suficiencia de las reservas que corresponda a la información con corte a 31 de diciembre de cada año, el </w:t>
      </w:r>
      <w:r w:rsidR="00846315">
        <w:rPr>
          <w:rFonts w:ascii="Arial" w:hAnsi="Arial" w:cs="Arial"/>
          <w:bCs/>
          <w:sz w:val="20"/>
          <w:szCs w:val="20"/>
          <w:lang w:val="es-MX"/>
        </w:rPr>
        <w:t>a</w:t>
      </w:r>
      <w:r w:rsidRPr="0002529A">
        <w:rPr>
          <w:rFonts w:ascii="Arial" w:hAnsi="Arial" w:cs="Arial"/>
          <w:bCs/>
          <w:sz w:val="20"/>
          <w:szCs w:val="20"/>
          <w:lang w:val="es-MX"/>
        </w:rPr>
        <w:t xml:space="preserve">ctuario </w:t>
      </w:r>
      <w:r w:rsidR="00846315">
        <w:rPr>
          <w:rFonts w:ascii="Arial" w:hAnsi="Arial" w:cs="Arial"/>
          <w:bCs/>
          <w:sz w:val="20"/>
          <w:szCs w:val="20"/>
          <w:lang w:val="es-MX"/>
        </w:rPr>
        <w:t>r</w:t>
      </w:r>
      <w:r w:rsidRPr="0002529A">
        <w:rPr>
          <w:rFonts w:ascii="Arial" w:hAnsi="Arial" w:cs="Arial"/>
          <w:bCs/>
          <w:sz w:val="20"/>
          <w:szCs w:val="20"/>
          <w:lang w:val="es-MX"/>
        </w:rPr>
        <w:t xml:space="preserve">esponsable debe incorporar los análisis adicionales descritos en este numeral, respecto de las declaraciones de suficiencia del año calendario inmediatamente anterior. El </w:t>
      </w:r>
      <w:r w:rsidR="00635D70">
        <w:rPr>
          <w:rFonts w:ascii="Arial" w:hAnsi="Arial" w:cs="Arial"/>
          <w:bCs/>
          <w:sz w:val="20"/>
          <w:szCs w:val="20"/>
          <w:lang w:val="es-MX"/>
        </w:rPr>
        <w:t>a</w:t>
      </w:r>
      <w:r w:rsidRPr="0002529A">
        <w:rPr>
          <w:rFonts w:ascii="Arial" w:hAnsi="Arial" w:cs="Arial"/>
          <w:bCs/>
          <w:sz w:val="20"/>
          <w:szCs w:val="20"/>
          <w:lang w:val="es-MX"/>
        </w:rPr>
        <w:t xml:space="preserve">ctuario </w:t>
      </w:r>
      <w:r w:rsidR="00635D70">
        <w:rPr>
          <w:rFonts w:ascii="Arial" w:hAnsi="Arial" w:cs="Arial"/>
          <w:bCs/>
          <w:sz w:val="20"/>
          <w:szCs w:val="20"/>
          <w:lang w:val="es-MX"/>
        </w:rPr>
        <w:t>r</w:t>
      </w:r>
      <w:r w:rsidRPr="0002529A">
        <w:rPr>
          <w:rFonts w:ascii="Arial" w:hAnsi="Arial" w:cs="Arial"/>
          <w:bCs/>
          <w:sz w:val="20"/>
          <w:szCs w:val="20"/>
          <w:lang w:val="es-MX"/>
        </w:rPr>
        <w:t>esponsable debe remitir un documento que contenga la descripción de los procedimientos adelantados, las metodologías utilizadas y las conclusiones de su análisis.</w:t>
      </w:r>
    </w:p>
    <w:p w14:paraId="72E66EB1" w14:textId="77777777" w:rsidR="0002529A" w:rsidRPr="0002529A" w:rsidRDefault="0002529A" w:rsidP="0002529A">
      <w:pPr>
        <w:jc w:val="both"/>
        <w:rPr>
          <w:rFonts w:ascii="Arial" w:hAnsi="Arial" w:cs="Arial"/>
          <w:bCs/>
          <w:sz w:val="20"/>
          <w:szCs w:val="20"/>
          <w:lang w:val="es-MX"/>
        </w:rPr>
      </w:pPr>
    </w:p>
    <w:p w14:paraId="3A99DF9E" w14:textId="68580AA7" w:rsid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Cuando la entidad aseguradora modifique alguna de las metodologías descritas, el </w:t>
      </w:r>
      <w:r w:rsidR="004B34A5">
        <w:rPr>
          <w:rFonts w:ascii="Arial" w:hAnsi="Arial" w:cs="Arial"/>
          <w:bCs/>
          <w:sz w:val="20"/>
          <w:szCs w:val="20"/>
          <w:lang w:val="es-MX"/>
        </w:rPr>
        <w:t>a</w:t>
      </w:r>
      <w:r w:rsidRPr="0002529A">
        <w:rPr>
          <w:rFonts w:ascii="Arial" w:hAnsi="Arial" w:cs="Arial"/>
          <w:bCs/>
          <w:sz w:val="20"/>
          <w:szCs w:val="20"/>
          <w:lang w:val="es-MX"/>
        </w:rPr>
        <w:t xml:space="preserve">ctuario </w:t>
      </w:r>
      <w:r w:rsidR="004B34A5">
        <w:rPr>
          <w:rFonts w:ascii="Arial" w:hAnsi="Arial" w:cs="Arial"/>
          <w:bCs/>
          <w:sz w:val="20"/>
          <w:szCs w:val="20"/>
          <w:lang w:val="es-MX"/>
        </w:rPr>
        <w:t>r</w:t>
      </w:r>
      <w:r w:rsidRPr="0002529A">
        <w:rPr>
          <w:rFonts w:ascii="Arial" w:hAnsi="Arial" w:cs="Arial"/>
          <w:bCs/>
          <w:sz w:val="20"/>
          <w:szCs w:val="20"/>
          <w:lang w:val="es-MX"/>
        </w:rPr>
        <w:t>esponsable debe presentar en la certificación correspondiente a dicho mes el análisis de la nueva metodología, detallando sus procedimientos, supuestos e impacto</w:t>
      </w:r>
      <w:r w:rsidR="004B34A5">
        <w:rPr>
          <w:rFonts w:ascii="Arial" w:hAnsi="Arial" w:cs="Arial"/>
          <w:bCs/>
          <w:sz w:val="20"/>
          <w:szCs w:val="20"/>
          <w:lang w:val="es-MX"/>
        </w:rPr>
        <w:t>s</w:t>
      </w:r>
      <w:r w:rsidRPr="0002529A">
        <w:rPr>
          <w:rFonts w:ascii="Arial" w:hAnsi="Arial" w:cs="Arial"/>
          <w:bCs/>
          <w:sz w:val="20"/>
          <w:szCs w:val="20"/>
          <w:lang w:val="es-MX"/>
        </w:rPr>
        <w:t xml:space="preserve"> </w:t>
      </w:r>
      <w:r w:rsidR="00A0361F">
        <w:rPr>
          <w:rFonts w:ascii="Arial" w:hAnsi="Arial" w:cs="Arial"/>
          <w:bCs/>
          <w:sz w:val="20"/>
          <w:szCs w:val="20"/>
          <w:lang w:val="es-MX"/>
        </w:rPr>
        <w:t xml:space="preserve">de estos </w:t>
      </w:r>
      <w:r w:rsidRPr="0002529A">
        <w:rPr>
          <w:rFonts w:ascii="Arial" w:hAnsi="Arial" w:cs="Arial"/>
          <w:bCs/>
          <w:sz w:val="20"/>
          <w:szCs w:val="20"/>
          <w:lang w:val="es-MX"/>
        </w:rPr>
        <w:t>cambios, salvo que dicha modificación sea producto de una obligación regulatoria.</w:t>
      </w:r>
    </w:p>
    <w:p w14:paraId="4D0EF64D" w14:textId="77777777" w:rsidR="001C27DA" w:rsidRPr="0002529A" w:rsidRDefault="001C27DA" w:rsidP="0002529A">
      <w:pPr>
        <w:jc w:val="both"/>
        <w:rPr>
          <w:rFonts w:ascii="Arial" w:hAnsi="Arial" w:cs="Arial"/>
          <w:bCs/>
          <w:sz w:val="20"/>
          <w:szCs w:val="20"/>
          <w:lang w:val="es-MX"/>
        </w:rPr>
      </w:pPr>
    </w:p>
    <w:p w14:paraId="3C247914" w14:textId="381C5B30" w:rsidR="0002529A" w:rsidRPr="00A91F47" w:rsidRDefault="0002529A" w:rsidP="00BE2CFC">
      <w:pPr>
        <w:pStyle w:val="Prrafodelista"/>
        <w:numPr>
          <w:ilvl w:val="2"/>
          <w:numId w:val="10"/>
        </w:numPr>
        <w:ind w:left="851" w:hanging="851"/>
        <w:jc w:val="both"/>
        <w:rPr>
          <w:rFonts w:ascii="Arial" w:hAnsi="Arial" w:cs="Arial"/>
          <w:b/>
          <w:sz w:val="20"/>
          <w:szCs w:val="20"/>
          <w:lang w:val="es-MX"/>
        </w:rPr>
      </w:pPr>
      <w:r w:rsidRPr="00A91F47">
        <w:rPr>
          <w:rFonts w:ascii="Arial" w:hAnsi="Arial" w:cs="Arial"/>
          <w:b/>
          <w:sz w:val="20"/>
          <w:szCs w:val="20"/>
          <w:lang w:val="es-MX"/>
        </w:rPr>
        <w:t>Análisis de la metodología de cálculo de las reservas técnicas</w:t>
      </w:r>
    </w:p>
    <w:p w14:paraId="5E45D572" w14:textId="77777777" w:rsidR="0002529A" w:rsidRPr="0002529A" w:rsidRDefault="0002529A" w:rsidP="0002529A">
      <w:pPr>
        <w:jc w:val="both"/>
        <w:rPr>
          <w:rFonts w:ascii="Arial" w:hAnsi="Arial" w:cs="Arial"/>
          <w:bCs/>
          <w:sz w:val="20"/>
          <w:szCs w:val="20"/>
          <w:lang w:val="es-MX"/>
        </w:rPr>
      </w:pPr>
    </w:p>
    <w:p w14:paraId="381A66CF" w14:textId="2243B4C0" w:rsid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Para sustentar la declaración de suficiencia de las reservas técnicas, anualmente el </w:t>
      </w:r>
      <w:r w:rsidR="00F95DB1">
        <w:rPr>
          <w:rFonts w:ascii="Arial" w:hAnsi="Arial" w:cs="Arial"/>
          <w:bCs/>
          <w:sz w:val="20"/>
          <w:szCs w:val="20"/>
          <w:lang w:val="es-MX"/>
        </w:rPr>
        <w:t>a</w:t>
      </w:r>
      <w:r w:rsidRPr="0002529A">
        <w:rPr>
          <w:rFonts w:ascii="Arial" w:hAnsi="Arial" w:cs="Arial"/>
          <w:bCs/>
          <w:sz w:val="20"/>
          <w:szCs w:val="20"/>
          <w:lang w:val="es-MX"/>
        </w:rPr>
        <w:t xml:space="preserve">ctuario </w:t>
      </w:r>
      <w:r w:rsidR="00F95DB1">
        <w:rPr>
          <w:rFonts w:ascii="Arial" w:hAnsi="Arial" w:cs="Arial"/>
          <w:bCs/>
          <w:sz w:val="20"/>
          <w:szCs w:val="20"/>
          <w:lang w:val="es-MX"/>
        </w:rPr>
        <w:t>r</w:t>
      </w:r>
      <w:r w:rsidRPr="0002529A">
        <w:rPr>
          <w:rFonts w:ascii="Arial" w:hAnsi="Arial" w:cs="Arial"/>
          <w:bCs/>
          <w:sz w:val="20"/>
          <w:szCs w:val="20"/>
          <w:lang w:val="es-MX"/>
        </w:rPr>
        <w:t xml:space="preserve">esponsable debe llevar a cabo un análisis que permita determinar que las metodologías utilizadas para el cálculo de las reservas técnicas son técnicamente adecuadas y cumplen con la normatividad vigente. Según corresponda a cada una de las reservas técnicas, el análisis debe tener en cuenta la calidad de los datos utilizados, la pertinencia de los supuestos, pruebas de estrés, análisis de </w:t>
      </w:r>
      <w:proofErr w:type="spellStart"/>
      <w:r w:rsidRPr="009F3C20">
        <w:rPr>
          <w:rFonts w:ascii="Arial" w:hAnsi="Arial" w:cs="Arial"/>
          <w:bCs/>
          <w:i/>
          <w:iCs/>
          <w:sz w:val="20"/>
          <w:szCs w:val="20"/>
          <w:lang w:val="es-MX"/>
        </w:rPr>
        <w:t>backtesting</w:t>
      </w:r>
      <w:proofErr w:type="spellEnd"/>
      <w:r w:rsidRPr="0002529A">
        <w:rPr>
          <w:rFonts w:ascii="Arial" w:hAnsi="Arial" w:cs="Arial"/>
          <w:bCs/>
          <w:sz w:val="20"/>
          <w:szCs w:val="20"/>
          <w:lang w:val="es-MX"/>
        </w:rPr>
        <w:t xml:space="preserve"> y los procedimientos que componen la metodología de cálculo </w:t>
      </w:r>
      <w:r w:rsidR="009F3C20">
        <w:rPr>
          <w:rFonts w:ascii="Arial" w:hAnsi="Arial" w:cs="Arial"/>
          <w:bCs/>
          <w:sz w:val="20"/>
          <w:szCs w:val="20"/>
          <w:lang w:val="es-MX"/>
        </w:rPr>
        <w:t>aplicable</w:t>
      </w:r>
      <w:r w:rsidRPr="0002529A">
        <w:rPr>
          <w:rFonts w:ascii="Arial" w:hAnsi="Arial" w:cs="Arial"/>
          <w:bCs/>
          <w:sz w:val="20"/>
          <w:szCs w:val="20"/>
          <w:lang w:val="es-MX"/>
        </w:rPr>
        <w:t>.</w:t>
      </w:r>
    </w:p>
    <w:p w14:paraId="7A5D12AB" w14:textId="77777777" w:rsidR="002320D3" w:rsidRPr="0002529A" w:rsidRDefault="002320D3" w:rsidP="0002529A">
      <w:pPr>
        <w:jc w:val="both"/>
        <w:rPr>
          <w:rFonts w:ascii="Arial" w:hAnsi="Arial" w:cs="Arial"/>
          <w:bCs/>
          <w:sz w:val="20"/>
          <w:szCs w:val="20"/>
          <w:lang w:val="es-MX"/>
        </w:rPr>
      </w:pPr>
    </w:p>
    <w:p w14:paraId="1E070E00" w14:textId="66ED9EC7" w:rsidR="0002529A" w:rsidRPr="00A912D0" w:rsidRDefault="0002529A" w:rsidP="00BE2CFC">
      <w:pPr>
        <w:pStyle w:val="Prrafodelista"/>
        <w:numPr>
          <w:ilvl w:val="2"/>
          <w:numId w:val="10"/>
        </w:numPr>
        <w:ind w:left="851" w:hanging="851"/>
        <w:jc w:val="both"/>
        <w:rPr>
          <w:rFonts w:ascii="Arial" w:hAnsi="Arial" w:cs="Arial"/>
          <w:b/>
          <w:sz w:val="20"/>
          <w:szCs w:val="20"/>
          <w:lang w:val="es-MX"/>
        </w:rPr>
      </w:pPr>
      <w:r w:rsidRPr="00A912D0">
        <w:rPr>
          <w:rFonts w:ascii="Arial" w:hAnsi="Arial" w:cs="Arial"/>
          <w:b/>
          <w:sz w:val="20"/>
          <w:szCs w:val="20"/>
          <w:lang w:val="es-MX"/>
        </w:rPr>
        <w:t>Evaluación de la valoración de las contingencias a cargo de las reaseguradoras</w:t>
      </w:r>
    </w:p>
    <w:p w14:paraId="0FB0E1E8" w14:textId="77777777" w:rsidR="0002529A" w:rsidRPr="0002529A" w:rsidRDefault="0002529A" w:rsidP="0002529A">
      <w:pPr>
        <w:jc w:val="both"/>
        <w:rPr>
          <w:rFonts w:ascii="Arial" w:hAnsi="Arial" w:cs="Arial"/>
          <w:bCs/>
          <w:sz w:val="20"/>
          <w:szCs w:val="20"/>
          <w:lang w:val="es-MX"/>
        </w:rPr>
      </w:pPr>
    </w:p>
    <w:p w14:paraId="0FD734D6" w14:textId="67ECEC32" w:rsidR="0002529A" w:rsidRP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Para sustentar la declaración de consistencia de las contingencias a cargo de las reaseguradoras, anualmente el </w:t>
      </w:r>
      <w:r w:rsidR="002342E9">
        <w:rPr>
          <w:rFonts w:ascii="Arial" w:hAnsi="Arial" w:cs="Arial"/>
          <w:bCs/>
          <w:sz w:val="20"/>
          <w:szCs w:val="20"/>
          <w:lang w:val="es-MX"/>
        </w:rPr>
        <w:t>a</w:t>
      </w:r>
      <w:r w:rsidRPr="0002529A">
        <w:rPr>
          <w:rFonts w:ascii="Arial" w:hAnsi="Arial" w:cs="Arial"/>
          <w:bCs/>
          <w:sz w:val="20"/>
          <w:szCs w:val="20"/>
          <w:lang w:val="es-MX"/>
        </w:rPr>
        <w:t xml:space="preserve">ctuario </w:t>
      </w:r>
      <w:r w:rsidR="002342E9">
        <w:rPr>
          <w:rFonts w:ascii="Arial" w:hAnsi="Arial" w:cs="Arial"/>
          <w:bCs/>
          <w:sz w:val="20"/>
          <w:szCs w:val="20"/>
          <w:lang w:val="es-MX"/>
        </w:rPr>
        <w:t>r</w:t>
      </w:r>
      <w:r w:rsidRPr="0002529A">
        <w:rPr>
          <w:rFonts w:ascii="Arial" w:hAnsi="Arial" w:cs="Arial"/>
          <w:bCs/>
          <w:sz w:val="20"/>
          <w:szCs w:val="20"/>
          <w:lang w:val="es-MX"/>
        </w:rPr>
        <w:t>esponsable debe llevar a cabo un análisis que permita determinar que la metodología de cuantificación del valor del activo por contingencias a cargo de la reaseguradora, para cada reserva técnica constituida, es técnicamente adecuada y cumple con la normatividad vigente.</w:t>
      </w:r>
    </w:p>
    <w:p w14:paraId="4E12A805" w14:textId="77777777" w:rsidR="0002529A" w:rsidRPr="0002529A" w:rsidRDefault="0002529A" w:rsidP="0002529A">
      <w:pPr>
        <w:jc w:val="both"/>
        <w:rPr>
          <w:rFonts w:ascii="Arial" w:hAnsi="Arial" w:cs="Arial"/>
          <w:bCs/>
          <w:sz w:val="20"/>
          <w:szCs w:val="20"/>
          <w:lang w:val="es-MX"/>
        </w:rPr>
      </w:pPr>
    </w:p>
    <w:p w14:paraId="78988782" w14:textId="627B83DB" w:rsid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Adicionalmente, anualmente deben efectuarse los análisis de las metodologías de determinación de transferencia de riesgo en los contratos de reaseguro no proporcional suscritos por ramo, según corresponda a la normatividad vigente. A partir de dichos análisis</w:t>
      </w:r>
      <w:r w:rsidR="00DD3A9E">
        <w:rPr>
          <w:rFonts w:ascii="Arial" w:hAnsi="Arial" w:cs="Arial"/>
          <w:bCs/>
          <w:sz w:val="20"/>
          <w:szCs w:val="20"/>
          <w:lang w:val="es-MX"/>
        </w:rPr>
        <w:t>,</w:t>
      </w:r>
      <w:r w:rsidRPr="0002529A">
        <w:rPr>
          <w:rFonts w:ascii="Arial" w:hAnsi="Arial" w:cs="Arial"/>
          <w:bCs/>
          <w:sz w:val="20"/>
          <w:szCs w:val="20"/>
          <w:lang w:val="es-MX"/>
        </w:rPr>
        <w:t xml:space="preserve"> el </w:t>
      </w:r>
      <w:r w:rsidR="00DD3A9E">
        <w:rPr>
          <w:rFonts w:ascii="Arial" w:hAnsi="Arial" w:cs="Arial"/>
          <w:bCs/>
          <w:sz w:val="20"/>
          <w:szCs w:val="20"/>
          <w:lang w:val="es-MX"/>
        </w:rPr>
        <w:t>a</w:t>
      </w:r>
      <w:r w:rsidRPr="0002529A">
        <w:rPr>
          <w:rFonts w:ascii="Arial" w:hAnsi="Arial" w:cs="Arial"/>
          <w:bCs/>
          <w:sz w:val="20"/>
          <w:szCs w:val="20"/>
          <w:lang w:val="es-MX"/>
        </w:rPr>
        <w:t xml:space="preserve">ctuario </w:t>
      </w:r>
      <w:r w:rsidR="00DD3A9E">
        <w:rPr>
          <w:rFonts w:ascii="Arial" w:hAnsi="Arial" w:cs="Arial"/>
          <w:bCs/>
          <w:sz w:val="20"/>
          <w:szCs w:val="20"/>
          <w:lang w:val="es-MX"/>
        </w:rPr>
        <w:t>re</w:t>
      </w:r>
      <w:r w:rsidRPr="0002529A">
        <w:rPr>
          <w:rFonts w:ascii="Arial" w:hAnsi="Arial" w:cs="Arial"/>
          <w:bCs/>
          <w:sz w:val="20"/>
          <w:szCs w:val="20"/>
          <w:lang w:val="es-MX"/>
        </w:rPr>
        <w:t>sponsable debe manifestar de manera clara su juicio respecto de la pertinencia de dichas metodologías para cumplir con los requerimientos regulatorios.</w:t>
      </w:r>
    </w:p>
    <w:p w14:paraId="756230BA" w14:textId="77777777" w:rsidR="00ED1E5D" w:rsidRPr="0002529A" w:rsidRDefault="00ED1E5D" w:rsidP="0002529A">
      <w:pPr>
        <w:jc w:val="both"/>
        <w:rPr>
          <w:rFonts w:ascii="Arial" w:hAnsi="Arial" w:cs="Arial"/>
          <w:bCs/>
          <w:sz w:val="20"/>
          <w:szCs w:val="20"/>
          <w:lang w:val="es-MX"/>
        </w:rPr>
      </w:pPr>
    </w:p>
    <w:p w14:paraId="0E938F59" w14:textId="2052F981" w:rsidR="0002529A" w:rsidRPr="004B780F" w:rsidRDefault="0002529A" w:rsidP="00BE2CFC">
      <w:pPr>
        <w:pStyle w:val="Prrafodelista"/>
        <w:numPr>
          <w:ilvl w:val="2"/>
          <w:numId w:val="10"/>
        </w:numPr>
        <w:ind w:left="851" w:hanging="851"/>
        <w:jc w:val="both"/>
        <w:rPr>
          <w:rFonts w:ascii="Arial" w:hAnsi="Arial" w:cs="Arial"/>
          <w:b/>
          <w:sz w:val="20"/>
          <w:szCs w:val="20"/>
          <w:lang w:val="es-MX"/>
        </w:rPr>
      </w:pPr>
      <w:r w:rsidRPr="004B780F">
        <w:rPr>
          <w:rFonts w:ascii="Arial" w:hAnsi="Arial" w:cs="Arial"/>
          <w:b/>
          <w:sz w:val="20"/>
          <w:szCs w:val="20"/>
          <w:lang w:val="es-MX"/>
        </w:rPr>
        <w:t>Calidad de la información</w:t>
      </w:r>
    </w:p>
    <w:p w14:paraId="4DEF0C64" w14:textId="77777777" w:rsidR="0002529A" w:rsidRPr="0002529A" w:rsidRDefault="0002529A" w:rsidP="0002529A">
      <w:pPr>
        <w:jc w:val="both"/>
        <w:rPr>
          <w:rFonts w:ascii="Arial" w:hAnsi="Arial" w:cs="Arial"/>
          <w:bCs/>
          <w:sz w:val="20"/>
          <w:szCs w:val="20"/>
          <w:lang w:val="es-MX"/>
        </w:rPr>
      </w:pPr>
    </w:p>
    <w:p w14:paraId="66BB47F8" w14:textId="53E51E83" w:rsidR="0002529A" w:rsidRP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El </w:t>
      </w:r>
      <w:r w:rsidR="004B780F">
        <w:rPr>
          <w:rFonts w:ascii="Arial" w:hAnsi="Arial" w:cs="Arial"/>
          <w:bCs/>
          <w:sz w:val="20"/>
          <w:szCs w:val="20"/>
          <w:lang w:val="es-MX"/>
        </w:rPr>
        <w:t>a</w:t>
      </w:r>
      <w:r w:rsidRPr="0002529A">
        <w:rPr>
          <w:rFonts w:ascii="Arial" w:hAnsi="Arial" w:cs="Arial"/>
          <w:bCs/>
          <w:sz w:val="20"/>
          <w:szCs w:val="20"/>
          <w:lang w:val="es-MX"/>
        </w:rPr>
        <w:t xml:space="preserve">ctuario </w:t>
      </w:r>
      <w:r w:rsidR="004B780F">
        <w:rPr>
          <w:rFonts w:ascii="Arial" w:hAnsi="Arial" w:cs="Arial"/>
          <w:bCs/>
          <w:sz w:val="20"/>
          <w:szCs w:val="20"/>
          <w:lang w:val="es-MX"/>
        </w:rPr>
        <w:t>r</w:t>
      </w:r>
      <w:r w:rsidRPr="0002529A">
        <w:rPr>
          <w:rFonts w:ascii="Arial" w:hAnsi="Arial" w:cs="Arial"/>
          <w:bCs/>
          <w:sz w:val="20"/>
          <w:szCs w:val="20"/>
          <w:lang w:val="es-MX"/>
        </w:rPr>
        <w:t xml:space="preserve">esponsable debe verificar la consistencia e integridad de la información empleada, particularmente que los datos </w:t>
      </w:r>
      <w:r w:rsidR="00EF70ED">
        <w:rPr>
          <w:rFonts w:ascii="Arial" w:hAnsi="Arial" w:cs="Arial"/>
          <w:bCs/>
          <w:sz w:val="20"/>
          <w:szCs w:val="20"/>
          <w:lang w:val="es-MX"/>
        </w:rPr>
        <w:t>utilizados</w:t>
      </w:r>
      <w:r w:rsidRPr="0002529A">
        <w:rPr>
          <w:rFonts w:ascii="Arial" w:hAnsi="Arial" w:cs="Arial"/>
          <w:bCs/>
          <w:sz w:val="20"/>
          <w:szCs w:val="20"/>
          <w:lang w:val="es-MX"/>
        </w:rPr>
        <w:t xml:space="preserve"> son suficientes, confiables y precisos para el cálculo de las reservas técnicas </w:t>
      </w:r>
      <w:r w:rsidR="00721C3E">
        <w:rPr>
          <w:rFonts w:ascii="Arial" w:hAnsi="Arial" w:cs="Arial"/>
          <w:bCs/>
          <w:sz w:val="20"/>
          <w:szCs w:val="20"/>
          <w:lang w:val="es-MX"/>
        </w:rPr>
        <w:t>por los contratos de seguro</w:t>
      </w:r>
      <w:r w:rsidRPr="0002529A">
        <w:rPr>
          <w:rFonts w:ascii="Arial" w:hAnsi="Arial" w:cs="Arial"/>
          <w:bCs/>
          <w:sz w:val="20"/>
          <w:szCs w:val="20"/>
          <w:lang w:val="es-MX"/>
        </w:rPr>
        <w:t xml:space="preserve"> y la valoración del activo por contingencias a cargo de las reaseguradoras.</w:t>
      </w:r>
    </w:p>
    <w:p w14:paraId="39C4E7A9" w14:textId="77777777" w:rsidR="0002529A" w:rsidRPr="0002529A" w:rsidRDefault="0002529A" w:rsidP="0002529A">
      <w:pPr>
        <w:jc w:val="both"/>
        <w:rPr>
          <w:rFonts w:ascii="Arial" w:hAnsi="Arial" w:cs="Arial"/>
          <w:bCs/>
          <w:sz w:val="20"/>
          <w:szCs w:val="20"/>
          <w:lang w:val="es-MX"/>
        </w:rPr>
      </w:pPr>
    </w:p>
    <w:p w14:paraId="51F80DD1" w14:textId="74DB3782" w:rsidR="0002529A" w:rsidRP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Cuando el </w:t>
      </w:r>
      <w:r w:rsidR="0086252A">
        <w:rPr>
          <w:rFonts w:ascii="Arial" w:hAnsi="Arial" w:cs="Arial"/>
          <w:bCs/>
          <w:sz w:val="20"/>
          <w:szCs w:val="20"/>
          <w:lang w:val="es-MX"/>
        </w:rPr>
        <w:t>a</w:t>
      </w:r>
      <w:r w:rsidRPr="0002529A">
        <w:rPr>
          <w:rFonts w:ascii="Arial" w:hAnsi="Arial" w:cs="Arial"/>
          <w:bCs/>
          <w:sz w:val="20"/>
          <w:szCs w:val="20"/>
          <w:lang w:val="es-MX"/>
        </w:rPr>
        <w:t xml:space="preserve">ctuario </w:t>
      </w:r>
      <w:r w:rsidR="0086252A">
        <w:rPr>
          <w:rFonts w:ascii="Arial" w:hAnsi="Arial" w:cs="Arial"/>
          <w:bCs/>
          <w:sz w:val="20"/>
          <w:szCs w:val="20"/>
          <w:lang w:val="es-MX"/>
        </w:rPr>
        <w:t>r</w:t>
      </w:r>
      <w:r w:rsidRPr="0002529A">
        <w:rPr>
          <w:rFonts w:ascii="Arial" w:hAnsi="Arial" w:cs="Arial"/>
          <w:bCs/>
          <w:sz w:val="20"/>
          <w:szCs w:val="20"/>
          <w:lang w:val="es-MX"/>
        </w:rPr>
        <w:t xml:space="preserve">esponsable no cuente con toda la información para realizar la valoración de una reserva técnica y requiera para ello emplear supuestos o hacer estimaciones, debe </w:t>
      </w:r>
      <w:r w:rsidR="000B35DF">
        <w:rPr>
          <w:rFonts w:ascii="Arial" w:hAnsi="Arial" w:cs="Arial"/>
          <w:bCs/>
          <w:sz w:val="20"/>
          <w:szCs w:val="20"/>
          <w:lang w:val="es-MX"/>
        </w:rPr>
        <w:t xml:space="preserve">conservar </w:t>
      </w:r>
      <w:r w:rsidRPr="0002529A">
        <w:rPr>
          <w:rFonts w:ascii="Arial" w:hAnsi="Arial" w:cs="Arial"/>
          <w:bCs/>
          <w:sz w:val="20"/>
          <w:szCs w:val="20"/>
          <w:lang w:val="es-MX"/>
        </w:rPr>
        <w:t>soporte de los métodos y supuestos utilizados, incluyendo la información que los sustenta. Adicionalmente, debe indicar las razones por las cuales no cuenta con la información suficiente y que justifican la utilización de dichos supuestos y estimaciones.</w:t>
      </w:r>
    </w:p>
    <w:p w14:paraId="3436F972" w14:textId="77777777" w:rsidR="0002529A" w:rsidRPr="0002529A" w:rsidRDefault="0002529A" w:rsidP="0002529A">
      <w:pPr>
        <w:jc w:val="both"/>
        <w:rPr>
          <w:rFonts w:ascii="Arial" w:hAnsi="Arial" w:cs="Arial"/>
          <w:bCs/>
          <w:sz w:val="20"/>
          <w:szCs w:val="20"/>
          <w:lang w:val="es-MX"/>
        </w:rPr>
      </w:pPr>
    </w:p>
    <w:p w14:paraId="3C0C612E" w14:textId="5C5921DF" w:rsidR="0002529A" w:rsidRPr="00FF32E3" w:rsidRDefault="0002529A" w:rsidP="00BE2CFC">
      <w:pPr>
        <w:pStyle w:val="Prrafodelista"/>
        <w:numPr>
          <w:ilvl w:val="2"/>
          <w:numId w:val="10"/>
        </w:numPr>
        <w:ind w:left="851" w:hanging="851"/>
        <w:jc w:val="both"/>
        <w:rPr>
          <w:rFonts w:ascii="Arial" w:hAnsi="Arial" w:cs="Arial"/>
          <w:b/>
          <w:sz w:val="20"/>
          <w:szCs w:val="20"/>
          <w:lang w:val="es-MX"/>
        </w:rPr>
      </w:pPr>
      <w:r w:rsidRPr="00FF32E3">
        <w:rPr>
          <w:rFonts w:ascii="Arial" w:hAnsi="Arial" w:cs="Arial"/>
          <w:b/>
          <w:sz w:val="20"/>
          <w:szCs w:val="20"/>
          <w:lang w:val="es-MX"/>
        </w:rPr>
        <w:t>Acciones correctivas frente a certificaciones anteriores</w:t>
      </w:r>
    </w:p>
    <w:p w14:paraId="41F90896" w14:textId="77777777" w:rsidR="0002529A" w:rsidRPr="0002529A" w:rsidRDefault="0002529A" w:rsidP="0002529A">
      <w:pPr>
        <w:jc w:val="both"/>
        <w:rPr>
          <w:rFonts w:ascii="Arial" w:hAnsi="Arial" w:cs="Arial"/>
          <w:bCs/>
          <w:sz w:val="20"/>
          <w:szCs w:val="20"/>
          <w:lang w:val="es-MX"/>
        </w:rPr>
      </w:pPr>
    </w:p>
    <w:p w14:paraId="117D5D03" w14:textId="0A4A55C9" w:rsidR="001E6180"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El </w:t>
      </w:r>
      <w:r w:rsidR="000B35DF">
        <w:rPr>
          <w:rFonts w:ascii="Arial" w:hAnsi="Arial" w:cs="Arial"/>
          <w:bCs/>
          <w:sz w:val="20"/>
          <w:szCs w:val="20"/>
          <w:lang w:val="es-MX"/>
        </w:rPr>
        <w:t>a</w:t>
      </w:r>
      <w:r w:rsidRPr="0002529A">
        <w:rPr>
          <w:rFonts w:ascii="Arial" w:hAnsi="Arial" w:cs="Arial"/>
          <w:bCs/>
          <w:sz w:val="20"/>
          <w:szCs w:val="20"/>
          <w:lang w:val="es-MX"/>
        </w:rPr>
        <w:t xml:space="preserve">ctuario </w:t>
      </w:r>
      <w:r w:rsidR="000B35DF">
        <w:rPr>
          <w:rFonts w:ascii="Arial" w:hAnsi="Arial" w:cs="Arial"/>
          <w:bCs/>
          <w:sz w:val="20"/>
          <w:szCs w:val="20"/>
          <w:lang w:val="es-MX"/>
        </w:rPr>
        <w:t>r</w:t>
      </w:r>
      <w:r w:rsidRPr="0002529A">
        <w:rPr>
          <w:rFonts w:ascii="Arial" w:hAnsi="Arial" w:cs="Arial"/>
          <w:bCs/>
          <w:sz w:val="20"/>
          <w:szCs w:val="20"/>
          <w:lang w:val="es-MX"/>
        </w:rPr>
        <w:t xml:space="preserve">esponsable debe hacer una descripción de las acciones correctivas tomadas frente a anomalías detectadas y reportadas en los dictámenes sobre la situación y suficiencia de las reservas técnicas correspondientes a certificaciones anteriores. En este reporte de las acciones correctivas, el </w:t>
      </w:r>
      <w:r w:rsidR="00ED5DD2">
        <w:rPr>
          <w:rFonts w:ascii="Arial" w:hAnsi="Arial" w:cs="Arial"/>
          <w:bCs/>
          <w:sz w:val="20"/>
          <w:szCs w:val="20"/>
          <w:lang w:val="es-MX"/>
        </w:rPr>
        <w:t>a</w:t>
      </w:r>
      <w:r w:rsidRPr="0002529A">
        <w:rPr>
          <w:rFonts w:ascii="Arial" w:hAnsi="Arial" w:cs="Arial"/>
          <w:bCs/>
          <w:sz w:val="20"/>
          <w:szCs w:val="20"/>
          <w:lang w:val="es-MX"/>
        </w:rPr>
        <w:t xml:space="preserve">ctuario </w:t>
      </w:r>
      <w:r w:rsidR="00ED5DD2">
        <w:rPr>
          <w:rFonts w:ascii="Arial" w:hAnsi="Arial" w:cs="Arial"/>
          <w:bCs/>
          <w:sz w:val="20"/>
          <w:szCs w:val="20"/>
          <w:lang w:val="es-MX"/>
        </w:rPr>
        <w:t>r</w:t>
      </w:r>
      <w:r w:rsidRPr="0002529A">
        <w:rPr>
          <w:rFonts w:ascii="Arial" w:hAnsi="Arial" w:cs="Arial"/>
          <w:bCs/>
          <w:sz w:val="20"/>
          <w:szCs w:val="20"/>
          <w:lang w:val="es-MX"/>
        </w:rPr>
        <w:t xml:space="preserve">esponsable debe incluir su concepto respecto de la efectividad de las acciones tomadas para subsanar las anomalías identificadas. </w:t>
      </w:r>
      <w:r w:rsidR="00BA5EDB">
        <w:rPr>
          <w:rFonts w:ascii="Arial" w:hAnsi="Arial" w:cs="Arial"/>
          <w:bCs/>
          <w:sz w:val="20"/>
          <w:szCs w:val="20"/>
          <w:lang w:val="es-MX"/>
        </w:rPr>
        <w:t>Cuando</w:t>
      </w:r>
      <w:r w:rsidRPr="0002529A">
        <w:rPr>
          <w:rFonts w:ascii="Arial" w:hAnsi="Arial" w:cs="Arial"/>
          <w:bCs/>
          <w:sz w:val="20"/>
          <w:szCs w:val="20"/>
          <w:lang w:val="es-MX"/>
        </w:rPr>
        <w:t xml:space="preserve"> las acciones correctivas requieran un plan de acción, este debe ser incorporado en el reporte.</w:t>
      </w:r>
    </w:p>
    <w:p w14:paraId="13E43661" w14:textId="77777777" w:rsidR="001E6180" w:rsidRPr="0002529A" w:rsidRDefault="001E6180" w:rsidP="0002529A">
      <w:pPr>
        <w:jc w:val="both"/>
        <w:rPr>
          <w:rFonts w:ascii="Arial" w:hAnsi="Arial" w:cs="Arial"/>
          <w:bCs/>
          <w:sz w:val="20"/>
          <w:szCs w:val="20"/>
          <w:lang w:val="es-MX"/>
        </w:rPr>
      </w:pPr>
    </w:p>
    <w:p w14:paraId="53A5D0A2" w14:textId="2BD16796" w:rsidR="0002529A" w:rsidRPr="00061D65" w:rsidRDefault="0002529A" w:rsidP="00BE2CFC">
      <w:pPr>
        <w:pStyle w:val="Prrafodelista"/>
        <w:numPr>
          <w:ilvl w:val="2"/>
          <w:numId w:val="10"/>
        </w:numPr>
        <w:ind w:left="851" w:hanging="851"/>
        <w:jc w:val="both"/>
        <w:rPr>
          <w:rFonts w:ascii="Arial" w:hAnsi="Arial" w:cs="Arial"/>
          <w:b/>
          <w:sz w:val="20"/>
          <w:szCs w:val="20"/>
          <w:lang w:val="es-MX"/>
        </w:rPr>
      </w:pPr>
      <w:r w:rsidRPr="00061D65">
        <w:rPr>
          <w:rFonts w:ascii="Arial" w:hAnsi="Arial" w:cs="Arial"/>
          <w:b/>
          <w:sz w:val="20"/>
          <w:szCs w:val="20"/>
          <w:lang w:val="es-MX"/>
        </w:rPr>
        <w:t>Hallazgos relevantes</w:t>
      </w:r>
    </w:p>
    <w:p w14:paraId="1B41CA05" w14:textId="77777777" w:rsidR="0002529A" w:rsidRPr="0002529A" w:rsidRDefault="0002529A" w:rsidP="0002529A">
      <w:pPr>
        <w:jc w:val="both"/>
        <w:rPr>
          <w:rFonts w:ascii="Arial" w:hAnsi="Arial" w:cs="Arial"/>
          <w:bCs/>
          <w:sz w:val="20"/>
          <w:szCs w:val="20"/>
          <w:lang w:val="es-MX"/>
        </w:rPr>
      </w:pPr>
    </w:p>
    <w:p w14:paraId="45EFDC43" w14:textId="110912EB" w:rsidR="0002529A" w:rsidRPr="0002529A" w:rsidRDefault="0002529A" w:rsidP="0002529A">
      <w:pPr>
        <w:jc w:val="both"/>
        <w:rPr>
          <w:rFonts w:ascii="Arial" w:hAnsi="Arial" w:cs="Arial"/>
          <w:bCs/>
          <w:sz w:val="20"/>
          <w:szCs w:val="20"/>
          <w:lang w:val="es-MX"/>
        </w:rPr>
      </w:pPr>
      <w:r w:rsidRPr="0002529A">
        <w:rPr>
          <w:rFonts w:ascii="Arial" w:hAnsi="Arial" w:cs="Arial"/>
          <w:bCs/>
          <w:sz w:val="20"/>
          <w:szCs w:val="20"/>
          <w:lang w:val="es-MX"/>
        </w:rPr>
        <w:t xml:space="preserve">El </w:t>
      </w:r>
      <w:r w:rsidR="00061D65">
        <w:rPr>
          <w:rFonts w:ascii="Arial" w:hAnsi="Arial" w:cs="Arial"/>
          <w:bCs/>
          <w:sz w:val="20"/>
          <w:szCs w:val="20"/>
          <w:lang w:val="es-MX"/>
        </w:rPr>
        <w:t>a</w:t>
      </w:r>
      <w:r w:rsidRPr="0002529A">
        <w:rPr>
          <w:rFonts w:ascii="Arial" w:hAnsi="Arial" w:cs="Arial"/>
          <w:bCs/>
          <w:sz w:val="20"/>
          <w:szCs w:val="20"/>
          <w:lang w:val="es-MX"/>
        </w:rPr>
        <w:t xml:space="preserve">ctuario </w:t>
      </w:r>
      <w:r w:rsidR="00061D65">
        <w:rPr>
          <w:rFonts w:ascii="Arial" w:hAnsi="Arial" w:cs="Arial"/>
          <w:bCs/>
          <w:sz w:val="20"/>
          <w:szCs w:val="20"/>
          <w:lang w:val="es-MX"/>
        </w:rPr>
        <w:t>r</w:t>
      </w:r>
      <w:r w:rsidRPr="0002529A">
        <w:rPr>
          <w:rFonts w:ascii="Arial" w:hAnsi="Arial" w:cs="Arial"/>
          <w:bCs/>
          <w:sz w:val="20"/>
          <w:szCs w:val="20"/>
          <w:lang w:val="es-MX"/>
        </w:rPr>
        <w:t xml:space="preserve">esponsable debe hacer una breve descripción de los hallazgos relevantes que complementen las declaraciones emitidas, incluyendo los eventos que pueden dar lugar a cambios o anomalías en la implementación de </w:t>
      </w:r>
      <w:r w:rsidR="000A13E7">
        <w:rPr>
          <w:rFonts w:ascii="Arial" w:hAnsi="Arial" w:cs="Arial"/>
          <w:bCs/>
          <w:sz w:val="20"/>
          <w:szCs w:val="20"/>
          <w:lang w:val="es-MX"/>
        </w:rPr>
        <w:t xml:space="preserve">las </w:t>
      </w:r>
      <w:r w:rsidRPr="0002529A">
        <w:rPr>
          <w:rFonts w:ascii="Arial" w:hAnsi="Arial" w:cs="Arial"/>
          <w:bCs/>
          <w:sz w:val="20"/>
          <w:szCs w:val="20"/>
          <w:lang w:val="es-MX"/>
        </w:rPr>
        <w:t xml:space="preserve">metodologías y los eventos que hayan obstaculizado el ejercicio de las funciones del </w:t>
      </w:r>
      <w:r w:rsidR="005C7EF9">
        <w:rPr>
          <w:rFonts w:ascii="Arial" w:hAnsi="Arial" w:cs="Arial"/>
          <w:bCs/>
          <w:sz w:val="20"/>
          <w:szCs w:val="20"/>
          <w:lang w:val="es-MX"/>
        </w:rPr>
        <w:t>a</w:t>
      </w:r>
      <w:r w:rsidRPr="0002529A">
        <w:rPr>
          <w:rFonts w:ascii="Arial" w:hAnsi="Arial" w:cs="Arial"/>
          <w:bCs/>
          <w:sz w:val="20"/>
          <w:szCs w:val="20"/>
          <w:lang w:val="es-MX"/>
        </w:rPr>
        <w:t xml:space="preserve">ctuario </w:t>
      </w:r>
      <w:r w:rsidR="005C7EF9">
        <w:rPr>
          <w:rFonts w:ascii="Arial" w:hAnsi="Arial" w:cs="Arial"/>
          <w:bCs/>
          <w:sz w:val="20"/>
          <w:szCs w:val="20"/>
          <w:lang w:val="es-MX"/>
        </w:rPr>
        <w:t>r</w:t>
      </w:r>
      <w:r w:rsidRPr="0002529A">
        <w:rPr>
          <w:rFonts w:ascii="Arial" w:hAnsi="Arial" w:cs="Arial"/>
          <w:bCs/>
          <w:sz w:val="20"/>
          <w:szCs w:val="20"/>
          <w:lang w:val="es-MX"/>
        </w:rPr>
        <w:t>esponsable.</w:t>
      </w:r>
    </w:p>
    <w:p w14:paraId="3AB64EB0" w14:textId="77777777" w:rsidR="0002529A" w:rsidRDefault="0002529A" w:rsidP="0002529A">
      <w:pPr>
        <w:jc w:val="both"/>
        <w:rPr>
          <w:rFonts w:ascii="Arial" w:hAnsi="Arial" w:cs="Arial"/>
          <w:b/>
          <w:sz w:val="20"/>
          <w:szCs w:val="20"/>
          <w:lang w:val="es-MX"/>
        </w:rPr>
      </w:pPr>
    </w:p>
    <w:p w14:paraId="5AD2842E" w14:textId="77777777" w:rsidR="000F2AC9" w:rsidRDefault="000F2AC9" w:rsidP="0002529A">
      <w:pPr>
        <w:jc w:val="both"/>
        <w:rPr>
          <w:rFonts w:ascii="Arial" w:hAnsi="Arial" w:cs="Arial"/>
          <w:b/>
          <w:sz w:val="20"/>
          <w:szCs w:val="20"/>
          <w:lang w:val="es-MX"/>
        </w:rPr>
      </w:pPr>
    </w:p>
    <w:p w14:paraId="17A40CDC" w14:textId="77777777" w:rsidR="000F2AC9" w:rsidRPr="00FE13AB" w:rsidRDefault="000F2AC9" w:rsidP="0002529A">
      <w:pPr>
        <w:jc w:val="both"/>
        <w:rPr>
          <w:rFonts w:ascii="Arial" w:hAnsi="Arial" w:cs="Arial"/>
          <w:b/>
          <w:sz w:val="20"/>
          <w:szCs w:val="20"/>
          <w:lang w:val="es-MX"/>
        </w:rPr>
      </w:pPr>
    </w:p>
    <w:p w14:paraId="7924DB97" w14:textId="7BDA2996" w:rsidR="0002529A" w:rsidRPr="00FE13AB" w:rsidRDefault="0002529A" w:rsidP="00BE2CFC">
      <w:pPr>
        <w:pStyle w:val="Prrafodelista"/>
        <w:numPr>
          <w:ilvl w:val="1"/>
          <w:numId w:val="10"/>
        </w:numPr>
        <w:ind w:left="851" w:hanging="851"/>
        <w:jc w:val="both"/>
        <w:rPr>
          <w:rFonts w:ascii="Arial" w:hAnsi="Arial" w:cs="Arial"/>
          <w:b/>
          <w:sz w:val="20"/>
          <w:szCs w:val="20"/>
          <w:lang w:val="es-MX"/>
        </w:rPr>
      </w:pPr>
      <w:r w:rsidRPr="00FE13AB">
        <w:rPr>
          <w:rFonts w:ascii="Arial" w:hAnsi="Arial" w:cs="Arial"/>
          <w:b/>
          <w:sz w:val="20"/>
          <w:szCs w:val="20"/>
          <w:lang w:val="es-MX"/>
        </w:rPr>
        <w:lastRenderedPageBreak/>
        <w:t>Información a</w:t>
      </w:r>
      <w:r w:rsidR="00BE2CFC">
        <w:rPr>
          <w:rFonts w:ascii="Arial" w:hAnsi="Arial" w:cs="Arial"/>
          <w:b/>
          <w:sz w:val="20"/>
          <w:szCs w:val="20"/>
          <w:lang w:val="es-MX"/>
        </w:rPr>
        <w:t>dicional a</w:t>
      </w:r>
      <w:r w:rsidRPr="00FE13AB">
        <w:rPr>
          <w:rFonts w:ascii="Arial" w:hAnsi="Arial" w:cs="Arial"/>
          <w:b/>
          <w:sz w:val="20"/>
          <w:szCs w:val="20"/>
          <w:lang w:val="es-MX"/>
        </w:rPr>
        <w:t xml:space="preserve"> cargo del </w:t>
      </w:r>
      <w:r w:rsidR="00FE13AB">
        <w:rPr>
          <w:rFonts w:ascii="Arial" w:hAnsi="Arial" w:cs="Arial"/>
          <w:b/>
          <w:sz w:val="20"/>
          <w:szCs w:val="20"/>
          <w:lang w:val="es-MX"/>
        </w:rPr>
        <w:t>a</w:t>
      </w:r>
      <w:r w:rsidRPr="00FE13AB">
        <w:rPr>
          <w:rFonts w:ascii="Arial" w:hAnsi="Arial" w:cs="Arial"/>
          <w:b/>
          <w:sz w:val="20"/>
          <w:szCs w:val="20"/>
          <w:lang w:val="es-MX"/>
        </w:rPr>
        <w:t xml:space="preserve">ctuario </w:t>
      </w:r>
      <w:r w:rsidR="00FE13AB">
        <w:rPr>
          <w:rFonts w:ascii="Arial" w:hAnsi="Arial" w:cs="Arial"/>
          <w:b/>
          <w:sz w:val="20"/>
          <w:szCs w:val="20"/>
          <w:lang w:val="es-MX"/>
        </w:rPr>
        <w:t>r</w:t>
      </w:r>
      <w:r w:rsidRPr="00FE13AB">
        <w:rPr>
          <w:rFonts w:ascii="Arial" w:hAnsi="Arial" w:cs="Arial"/>
          <w:b/>
          <w:sz w:val="20"/>
          <w:szCs w:val="20"/>
          <w:lang w:val="es-MX"/>
        </w:rPr>
        <w:t>esponsable</w:t>
      </w:r>
    </w:p>
    <w:p w14:paraId="160920ED" w14:textId="77777777" w:rsidR="0002529A" w:rsidRPr="0002529A" w:rsidRDefault="0002529A" w:rsidP="0002529A">
      <w:pPr>
        <w:jc w:val="both"/>
        <w:rPr>
          <w:rFonts w:ascii="Arial" w:hAnsi="Arial" w:cs="Arial"/>
          <w:bCs/>
          <w:sz w:val="20"/>
          <w:szCs w:val="20"/>
          <w:lang w:val="es-MX"/>
        </w:rPr>
      </w:pPr>
    </w:p>
    <w:p w14:paraId="7740DB51" w14:textId="05C8C8B8" w:rsidR="0002529A" w:rsidRPr="003B0CD7" w:rsidRDefault="0002529A" w:rsidP="0002529A">
      <w:pPr>
        <w:jc w:val="both"/>
        <w:rPr>
          <w:rFonts w:ascii="Arial" w:hAnsi="Arial" w:cs="Arial"/>
          <w:b/>
          <w:sz w:val="20"/>
          <w:szCs w:val="20"/>
          <w:lang w:val="es-MX"/>
        </w:rPr>
      </w:pPr>
      <w:r w:rsidRPr="0002529A">
        <w:rPr>
          <w:rFonts w:ascii="Arial" w:hAnsi="Arial" w:cs="Arial"/>
          <w:bCs/>
          <w:sz w:val="20"/>
          <w:szCs w:val="20"/>
          <w:lang w:val="es-MX"/>
        </w:rPr>
        <w:t xml:space="preserve">En adición a lo establecido para la certificación </w:t>
      </w:r>
      <w:r w:rsidR="001C27DA">
        <w:rPr>
          <w:rFonts w:ascii="Arial" w:hAnsi="Arial" w:cs="Arial"/>
          <w:bCs/>
          <w:sz w:val="20"/>
          <w:szCs w:val="20"/>
          <w:lang w:val="es-MX"/>
        </w:rPr>
        <w:t xml:space="preserve">mensual </w:t>
      </w:r>
      <w:r w:rsidRPr="0002529A">
        <w:rPr>
          <w:rFonts w:ascii="Arial" w:hAnsi="Arial" w:cs="Arial"/>
          <w:bCs/>
          <w:sz w:val="20"/>
          <w:szCs w:val="20"/>
          <w:lang w:val="es-MX"/>
        </w:rPr>
        <w:t>de suficiencia de las reservas técnicas</w:t>
      </w:r>
      <w:r w:rsidR="000C0D48">
        <w:rPr>
          <w:rFonts w:ascii="Arial" w:hAnsi="Arial" w:cs="Arial"/>
          <w:bCs/>
          <w:sz w:val="20"/>
          <w:szCs w:val="20"/>
          <w:lang w:val="es-MX"/>
        </w:rPr>
        <w:t xml:space="preserve"> de que trata el parágrafo </w:t>
      </w:r>
      <w:r w:rsidR="008D584C">
        <w:rPr>
          <w:rFonts w:ascii="Arial" w:hAnsi="Arial" w:cs="Arial"/>
          <w:bCs/>
          <w:sz w:val="20"/>
          <w:szCs w:val="20"/>
          <w:lang w:val="es-MX"/>
        </w:rPr>
        <w:t xml:space="preserve">único </w:t>
      </w:r>
      <w:r w:rsidR="000C0D48">
        <w:rPr>
          <w:rFonts w:ascii="Arial" w:hAnsi="Arial" w:cs="Arial"/>
          <w:bCs/>
          <w:sz w:val="20"/>
          <w:szCs w:val="20"/>
          <w:lang w:val="es-MX"/>
        </w:rPr>
        <w:t xml:space="preserve">del artículo </w:t>
      </w:r>
      <w:r w:rsidR="008B608B">
        <w:rPr>
          <w:rFonts w:ascii="Arial" w:hAnsi="Arial" w:cs="Arial"/>
          <w:bCs/>
          <w:sz w:val="20"/>
          <w:szCs w:val="20"/>
          <w:lang w:val="es-MX"/>
        </w:rPr>
        <w:t>2.31.4.1.2.</w:t>
      </w:r>
      <w:r w:rsidR="00ED4BE7">
        <w:rPr>
          <w:rFonts w:ascii="Arial" w:hAnsi="Arial" w:cs="Arial"/>
          <w:bCs/>
          <w:sz w:val="20"/>
          <w:szCs w:val="20"/>
          <w:lang w:val="es-MX"/>
        </w:rPr>
        <w:t xml:space="preserve"> del Decreto 2555 de 2010</w:t>
      </w:r>
      <w:r w:rsidRPr="0002529A">
        <w:rPr>
          <w:rFonts w:ascii="Arial" w:hAnsi="Arial" w:cs="Arial"/>
          <w:bCs/>
          <w:sz w:val="20"/>
          <w:szCs w:val="20"/>
          <w:lang w:val="es-MX"/>
        </w:rPr>
        <w:t xml:space="preserve">, las entidades aseguradoras, por conducto del </w:t>
      </w:r>
      <w:r w:rsidR="008A6DD9">
        <w:rPr>
          <w:rFonts w:ascii="Arial" w:hAnsi="Arial" w:cs="Arial"/>
          <w:bCs/>
          <w:sz w:val="20"/>
          <w:szCs w:val="20"/>
          <w:lang w:val="es-MX"/>
        </w:rPr>
        <w:t>a</w:t>
      </w:r>
      <w:r w:rsidRPr="0002529A">
        <w:rPr>
          <w:rFonts w:ascii="Arial" w:hAnsi="Arial" w:cs="Arial"/>
          <w:bCs/>
          <w:sz w:val="20"/>
          <w:szCs w:val="20"/>
          <w:lang w:val="es-MX"/>
        </w:rPr>
        <w:t xml:space="preserve">ctuario </w:t>
      </w:r>
      <w:r w:rsidR="008A6DD9">
        <w:rPr>
          <w:rFonts w:ascii="Arial" w:hAnsi="Arial" w:cs="Arial"/>
          <w:bCs/>
          <w:sz w:val="20"/>
          <w:szCs w:val="20"/>
          <w:lang w:val="es-MX"/>
        </w:rPr>
        <w:t>r</w:t>
      </w:r>
      <w:r w:rsidRPr="0002529A">
        <w:rPr>
          <w:rFonts w:ascii="Arial" w:hAnsi="Arial" w:cs="Arial"/>
          <w:bCs/>
          <w:sz w:val="20"/>
          <w:szCs w:val="20"/>
          <w:lang w:val="es-MX"/>
        </w:rPr>
        <w:t>esponsable, deben tener a disposición de la SFC soportes detallados sobre la siguiente información:</w:t>
      </w:r>
    </w:p>
    <w:p w14:paraId="0E2AAD9C" w14:textId="77777777" w:rsidR="0002529A" w:rsidRPr="0002529A" w:rsidRDefault="0002529A" w:rsidP="0002529A">
      <w:pPr>
        <w:jc w:val="both"/>
        <w:rPr>
          <w:rFonts w:ascii="Arial" w:hAnsi="Arial" w:cs="Arial"/>
          <w:bCs/>
          <w:sz w:val="20"/>
          <w:szCs w:val="20"/>
          <w:lang w:val="es-MX"/>
        </w:rPr>
      </w:pPr>
    </w:p>
    <w:p w14:paraId="7D0F211F" w14:textId="30650B10" w:rsidR="00F14DBE" w:rsidRDefault="0002529A" w:rsidP="0002529A">
      <w:pPr>
        <w:pStyle w:val="Prrafodelista"/>
        <w:numPr>
          <w:ilvl w:val="0"/>
          <w:numId w:val="12"/>
        </w:numPr>
        <w:ind w:left="567" w:hanging="567"/>
        <w:jc w:val="both"/>
        <w:rPr>
          <w:rFonts w:ascii="Arial" w:hAnsi="Arial" w:cs="Arial"/>
          <w:bCs/>
          <w:sz w:val="20"/>
          <w:szCs w:val="20"/>
          <w:lang w:val="es-MX"/>
        </w:rPr>
      </w:pPr>
      <w:r w:rsidRPr="000B687C">
        <w:rPr>
          <w:rFonts w:ascii="Arial" w:hAnsi="Arial" w:cs="Arial"/>
          <w:bCs/>
          <w:sz w:val="20"/>
          <w:szCs w:val="20"/>
          <w:lang w:val="es-MX"/>
        </w:rPr>
        <w:t xml:space="preserve">Actividades de revisión y soportes técnicos de los análisis requeridos para la certificación de suficiencia: Las actividades que desarrolla el </w:t>
      </w:r>
      <w:r w:rsidR="00E33A15">
        <w:rPr>
          <w:rFonts w:ascii="Arial" w:hAnsi="Arial" w:cs="Arial"/>
          <w:bCs/>
          <w:sz w:val="20"/>
          <w:szCs w:val="20"/>
          <w:lang w:val="es-MX"/>
        </w:rPr>
        <w:t>a</w:t>
      </w:r>
      <w:r w:rsidRPr="000B687C">
        <w:rPr>
          <w:rFonts w:ascii="Arial" w:hAnsi="Arial" w:cs="Arial"/>
          <w:bCs/>
          <w:sz w:val="20"/>
          <w:szCs w:val="20"/>
          <w:lang w:val="es-MX"/>
        </w:rPr>
        <w:t xml:space="preserve">ctuario </w:t>
      </w:r>
      <w:r w:rsidR="00E33A15">
        <w:rPr>
          <w:rFonts w:ascii="Arial" w:hAnsi="Arial" w:cs="Arial"/>
          <w:bCs/>
          <w:sz w:val="20"/>
          <w:szCs w:val="20"/>
          <w:lang w:val="es-MX"/>
        </w:rPr>
        <w:t>r</w:t>
      </w:r>
      <w:r w:rsidRPr="000B687C">
        <w:rPr>
          <w:rFonts w:ascii="Arial" w:hAnsi="Arial" w:cs="Arial"/>
          <w:bCs/>
          <w:sz w:val="20"/>
          <w:szCs w:val="20"/>
          <w:lang w:val="es-MX"/>
        </w:rPr>
        <w:t>esponsable y su equipo de trabajo para cumplir las funciones relacionadas con la evaluación de la suficiencia de las reservas técnicas y de la consistencia del activo por contingencias a cargo de reaseguradoras</w:t>
      </w:r>
      <w:r w:rsidR="00E05201">
        <w:rPr>
          <w:rFonts w:ascii="Arial" w:hAnsi="Arial" w:cs="Arial"/>
          <w:bCs/>
          <w:sz w:val="20"/>
          <w:szCs w:val="20"/>
          <w:lang w:val="es-MX"/>
        </w:rPr>
        <w:t>, incluyendo la revisión de las metodologías internas que puedan implementar las entidades par</w:t>
      </w:r>
      <w:r w:rsidR="00E5083D">
        <w:rPr>
          <w:rFonts w:ascii="Arial" w:hAnsi="Arial" w:cs="Arial"/>
          <w:bCs/>
          <w:sz w:val="20"/>
          <w:szCs w:val="20"/>
          <w:lang w:val="es-MX"/>
        </w:rPr>
        <w:t>a estimar parámetros o variables que hacen parte del cálculo de la reserva</w:t>
      </w:r>
      <w:r w:rsidRPr="000B687C">
        <w:rPr>
          <w:rFonts w:ascii="Arial" w:hAnsi="Arial" w:cs="Arial"/>
          <w:bCs/>
          <w:sz w:val="20"/>
          <w:szCs w:val="20"/>
          <w:lang w:val="es-MX"/>
        </w:rPr>
        <w:t>.</w:t>
      </w:r>
    </w:p>
    <w:p w14:paraId="098009C6" w14:textId="77777777" w:rsidR="00F14DBE" w:rsidRDefault="00F14DBE" w:rsidP="00F14DBE">
      <w:pPr>
        <w:pStyle w:val="Prrafodelista"/>
        <w:ind w:left="567"/>
        <w:jc w:val="both"/>
        <w:rPr>
          <w:rFonts w:ascii="Arial" w:hAnsi="Arial" w:cs="Arial"/>
          <w:bCs/>
          <w:sz w:val="20"/>
          <w:szCs w:val="20"/>
          <w:lang w:val="es-MX"/>
        </w:rPr>
      </w:pPr>
    </w:p>
    <w:p w14:paraId="624A8328" w14:textId="7D9510B7" w:rsidR="0002529A" w:rsidRPr="00F14DBE" w:rsidRDefault="0002529A" w:rsidP="00F14DBE">
      <w:pPr>
        <w:pStyle w:val="Prrafodelista"/>
        <w:ind w:left="567"/>
        <w:jc w:val="both"/>
        <w:rPr>
          <w:rFonts w:ascii="Arial" w:hAnsi="Arial" w:cs="Arial"/>
          <w:bCs/>
          <w:sz w:val="20"/>
          <w:szCs w:val="20"/>
          <w:lang w:val="es-MX"/>
        </w:rPr>
      </w:pPr>
      <w:r w:rsidRPr="00F14DBE">
        <w:rPr>
          <w:rFonts w:ascii="Arial" w:hAnsi="Arial" w:cs="Arial"/>
          <w:bCs/>
          <w:sz w:val="20"/>
          <w:szCs w:val="20"/>
          <w:lang w:val="es-MX"/>
        </w:rPr>
        <w:t>En dichas constancias debe ser posible comprobar los objetivos, las actividades planeadas, el cronograma de ejecución y la documentación sobre los procedimientos y supuestos empleados para llevar a cabo tales actividades.</w:t>
      </w:r>
    </w:p>
    <w:p w14:paraId="5F968D6A" w14:textId="77777777" w:rsidR="0002529A" w:rsidRPr="0002529A" w:rsidRDefault="0002529A" w:rsidP="0002529A">
      <w:pPr>
        <w:jc w:val="both"/>
        <w:rPr>
          <w:rFonts w:ascii="Arial" w:hAnsi="Arial" w:cs="Arial"/>
          <w:bCs/>
          <w:sz w:val="20"/>
          <w:szCs w:val="20"/>
          <w:lang w:val="es-MX"/>
        </w:rPr>
      </w:pPr>
    </w:p>
    <w:p w14:paraId="2DBC0D53" w14:textId="7E7EC58F" w:rsidR="007004D3" w:rsidRDefault="0002529A" w:rsidP="0002529A">
      <w:pPr>
        <w:pStyle w:val="Prrafodelista"/>
        <w:numPr>
          <w:ilvl w:val="0"/>
          <w:numId w:val="12"/>
        </w:numPr>
        <w:ind w:left="567" w:hanging="567"/>
        <w:jc w:val="both"/>
        <w:rPr>
          <w:rFonts w:ascii="Arial" w:hAnsi="Arial" w:cs="Arial"/>
          <w:bCs/>
          <w:sz w:val="20"/>
          <w:szCs w:val="20"/>
          <w:lang w:val="es-MX"/>
        </w:rPr>
      </w:pPr>
      <w:r w:rsidRPr="00551DE6">
        <w:rPr>
          <w:rFonts w:ascii="Arial" w:hAnsi="Arial" w:cs="Arial"/>
          <w:bCs/>
          <w:sz w:val="20"/>
          <w:szCs w:val="20"/>
          <w:lang w:val="es-MX"/>
        </w:rPr>
        <w:t>Actividades de verificación de la consistencia e integridad de la información: los procedimientos utilizados para validar y verificar que la información proporcionada por la entidad aseguradora sea confiable, completa y consistente.</w:t>
      </w:r>
    </w:p>
    <w:p w14:paraId="2257FF9F" w14:textId="77777777" w:rsidR="007004D3" w:rsidRDefault="007004D3" w:rsidP="007004D3">
      <w:pPr>
        <w:pStyle w:val="Prrafodelista"/>
        <w:ind w:left="567"/>
        <w:jc w:val="both"/>
        <w:rPr>
          <w:rFonts w:ascii="Arial" w:hAnsi="Arial" w:cs="Arial"/>
          <w:bCs/>
          <w:sz w:val="20"/>
          <w:szCs w:val="20"/>
          <w:lang w:val="es-MX"/>
        </w:rPr>
      </w:pPr>
    </w:p>
    <w:p w14:paraId="04B896FD" w14:textId="00FA7460" w:rsidR="003663D2" w:rsidRDefault="0002529A" w:rsidP="007004D3">
      <w:pPr>
        <w:pStyle w:val="Prrafodelista"/>
        <w:ind w:left="567"/>
        <w:jc w:val="both"/>
        <w:rPr>
          <w:rFonts w:ascii="Arial" w:hAnsi="Arial" w:cs="Arial"/>
          <w:bCs/>
          <w:sz w:val="20"/>
          <w:szCs w:val="20"/>
          <w:lang w:val="es-MX"/>
        </w:rPr>
      </w:pPr>
      <w:r w:rsidRPr="007004D3">
        <w:rPr>
          <w:rFonts w:ascii="Arial" w:hAnsi="Arial" w:cs="Arial"/>
          <w:bCs/>
          <w:sz w:val="20"/>
          <w:szCs w:val="20"/>
          <w:lang w:val="es-MX"/>
        </w:rPr>
        <w:t xml:space="preserve">La información relativa al cumplimiento de las funciones del </w:t>
      </w:r>
      <w:r w:rsidR="007004D3">
        <w:rPr>
          <w:rFonts w:ascii="Arial" w:hAnsi="Arial" w:cs="Arial"/>
          <w:bCs/>
          <w:sz w:val="20"/>
          <w:szCs w:val="20"/>
          <w:lang w:val="es-MX"/>
        </w:rPr>
        <w:t>a</w:t>
      </w:r>
      <w:r w:rsidRPr="007004D3">
        <w:rPr>
          <w:rFonts w:ascii="Arial" w:hAnsi="Arial" w:cs="Arial"/>
          <w:bCs/>
          <w:sz w:val="20"/>
          <w:szCs w:val="20"/>
          <w:lang w:val="es-MX"/>
        </w:rPr>
        <w:t xml:space="preserve">ctuario </w:t>
      </w:r>
      <w:r w:rsidR="007004D3">
        <w:rPr>
          <w:rFonts w:ascii="Arial" w:hAnsi="Arial" w:cs="Arial"/>
          <w:bCs/>
          <w:sz w:val="20"/>
          <w:szCs w:val="20"/>
          <w:lang w:val="es-MX"/>
        </w:rPr>
        <w:t>r</w:t>
      </w:r>
      <w:r w:rsidRPr="007004D3">
        <w:rPr>
          <w:rFonts w:ascii="Arial" w:hAnsi="Arial" w:cs="Arial"/>
          <w:bCs/>
          <w:sz w:val="20"/>
          <w:szCs w:val="20"/>
          <w:lang w:val="es-MX"/>
        </w:rPr>
        <w:t>esponsable debe conservarse por un plazo mínimo de 5 años mediante cualquier medio que asegure su integridad.</w:t>
      </w:r>
    </w:p>
    <w:p w14:paraId="1E0C02B9" w14:textId="77777777" w:rsidR="00A8491D" w:rsidRPr="008C73E1" w:rsidRDefault="00A8491D" w:rsidP="008C73E1">
      <w:pPr>
        <w:jc w:val="both"/>
        <w:rPr>
          <w:rFonts w:ascii="Arial" w:hAnsi="Arial" w:cs="Arial"/>
          <w:bCs/>
          <w:sz w:val="20"/>
          <w:szCs w:val="20"/>
          <w:lang w:val="es-MX"/>
        </w:rPr>
      </w:pPr>
    </w:p>
    <w:sectPr w:rsidR="00A8491D" w:rsidRPr="008C73E1" w:rsidSect="009935ED">
      <w:headerReference w:type="default" r:id="rId11"/>
      <w:pgSz w:w="12240" w:h="20160" w:code="5"/>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EE1CD" w14:textId="77777777" w:rsidR="005174C4" w:rsidRDefault="005174C4" w:rsidP="00355A40">
      <w:r>
        <w:separator/>
      </w:r>
    </w:p>
  </w:endnote>
  <w:endnote w:type="continuationSeparator" w:id="0">
    <w:p w14:paraId="6F1E2EE8" w14:textId="77777777" w:rsidR="005174C4" w:rsidRDefault="005174C4" w:rsidP="00355A40">
      <w:r>
        <w:continuationSeparator/>
      </w:r>
    </w:p>
  </w:endnote>
  <w:endnote w:type="continuationNotice" w:id="1">
    <w:p w14:paraId="69EC47CB" w14:textId="77777777" w:rsidR="005174C4" w:rsidRDefault="005174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07443" w14:textId="77777777" w:rsidR="005174C4" w:rsidRDefault="005174C4" w:rsidP="00355A40">
      <w:r>
        <w:separator/>
      </w:r>
    </w:p>
  </w:footnote>
  <w:footnote w:type="continuationSeparator" w:id="0">
    <w:p w14:paraId="5995FFBF" w14:textId="77777777" w:rsidR="005174C4" w:rsidRDefault="005174C4" w:rsidP="00355A40">
      <w:r>
        <w:continuationSeparator/>
      </w:r>
    </w:p>
  </w:footnote>
  <w:footnote w:type="continuationNotice" w:id="1">
    <w:p w14:paraId="7A2F802E" w14:textId="77777777" w:rsidR="005174C4" w:rsidRDefault="005174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EAC97" w14:textId="4E20B98C" w:rsidR="00355A40" w:rsidRDefault="00355A40" w:rsidP="00355A40">
    <w:pPr>
      <w:pStyle w:val="Encabezado"/>
      <w:jc w:val="center"/>
      <w:rPr>
        <w:rFonts w:ascii="Arial" w:hAnsi="Arial" w:cs="Arial"/>
        <w:b/>
      </w:rPr>
    </w:pPr>
  </w:p>
  <w:p w14:paraId="442FD474" w14:textId="77777777" w:rsidR="00355A40" w:rsidRDefault="00355A40" w:rsidP="00355A40">
    <w:pPr>
      <w:pStyle w:val="Encabezado"/>
      <w:jc w:val="center"/>
      <w:rPr>
        <w:rFonts w:ascii="Arial" w:hAnsi="Arial" w:cs="Arial"/>
        <w:b/>
      </w:rPr>
    </w:pPr>
    <w:r>
      <w:rPr>
        <w:rFonts w:ascii="Arial" w:hAnsi="Arial" w:cs="Arial"/>
        <w:b/>
      </w:rPr>
      <w:t>SUPERINTENDENCIA FINANCIERA DE COLOMBIA</w:t>
    </w:r>
  </w:p>
  <w:p w14:paraId="2F9CC8DD" w14:textId="77777777" w:rsidR="004345E1" w:rsidRDefault="004345E1" w:rsidP="009F1B2A">
    <w:pPr>
      <w:pStyle w:val="Encabezado"/>
      <w:rPr>
        <w:rFonts w:ascii="Arial" w:hAnsi="Arial" w:cs="Arial"/>
        <w:b/>
        <w:sz w:val="18"/>
        <w:szCs w:val="18"/>
        <w:lang w:val="es-CO"/>
      </w:rPr>
    </w:pPr>
  </w:p>
  <w:p w14:paraId="24591FB3" w14:textId="77777777" w:rsidR="004345E1" w:rsidRDefault="004345E1" w:rsidP="009F1B2A">
    <w:pPr>
      <w:pStyle w:val="Encabezado"/>
      <w:rPr>
        <w:rFonts w:ascii="Arial" w:hAnsi="Arial" w:cs="Arial"/>
        <w:b/>
        <w:sz w:val="18"/>
        <w:szCs w:val="18"/>
        <w:lang w:val="es-CO"/>
      </w:rPr>
    </w:pPr>
  </w:p>
  <w:p w14:paraId="5078064A" w14:textId="05766365" w:rsidR="004345E1" w:rsidRPr="00F21397" w:rsidRDefault="00404A97" w:rsidP="008B2596">
    <w:pPr>
      <w:pStyle w:val="paragraph"/>
      <w:spacing w:before="0" w:beforeAutospacing="0" w:after="0" w:afterAutospacing="0"/>
      <w:ind w:left="1843" w:hanging="1843"/>
      <w:textAlignment w:val="baseline"/>
      <w:rPr>
        <w:rFonts w:ascii="Arial" w:hAnsi="Arial" w:cs="Arial"/>
        <w:b/>
        <w:bCs/>
        <w:sz w:val="18"/>
        <w:szCs w:val="18"/>
      </w:rPr>
    </w:pPr>
    <w:r w:rsidRPr="00F21397">
      <w:rPr>
        <w:rStyle w:val="normaltextrun"/>
        <w:rFonts w:ascii="Arial" w:hAnsi="Arial" w:cs="Arial"/>
        <w:b/>
        <w:bCs/>
        <w:sz w:val="18"/>
        <w:szCs w:val="18"/>
      </w:rPr>
      <w:t xml:space="preserve">CAPÍTULO </w:t>
    </w:r>
    <w:proofErr w:type="gramStart"/>
    <w:r w:rsidRPr="00F21397">
      <w:rPr>
        <w:rStyle w:val="normaltextrun"/>
        <w:rFonts w:ascii="Arial" w:hAnsi="Arial" w:cs="Arial"/>
        <w:b/>
        <w:bCs/>
        <w:sz w:val="18"/>
        <w:szCs w:val="18"/>
      </w:rPr>
      <w:t xml:space="preserve">XXXIV </w:t>
    </w:r>
    <w:r w:rsidR="00F21397" w:rsidRPr="00F21397">
      <w:rPr>
        <w:rStyle w:val="normaltextrun"/>
        <w:rFonts w:ascii="Arial" w:hAnsi="Arial" w:cs="Arial"/>
        <w:b/>
        <w:bCs/>
        <w:sz w:val="18"/>
        <w:szCs w:val="18"/>
      </w:rPr>
      <w:t xml:space="preserve"> </w:t>
    </w:r>
    <w:r w:rsidR="00F21397" w:rsidRPr="00F21397">
      <w:rPr>
        <w:rFonts w:ascii="Arial" w:hAnsi="Arial" w:cs="Arial"/>
        <w:bCs/>
        <w:sz w:val="18"/>
        <w:szCs w:val="18"/>
      </w:rPr>
      <w:t>–</w:t>
    </w:r>
    <w:proofErr w:type="gramEnd"/>
    <w:r w:rsidR="00F21397" w:rsidRPr="00F21397">
      <w:rPr>
        <w:rStyle w:val="normaltextrun"/>
        <w:rFonts w:ascii="Arial" w:hAnsi="Arial" w:cs="Arial"/>
        <w:b/>
        <w:bCs/>
        <w:sz w:val="18"/>
        <w:szCs w:val="18"/>
      </w:rPr>
      <w:t xml:space="preserve">  </w:t>
    </w:r>
    <w:r w:rsidR="008B2596">
      <w:rPr>
        <w:rStyle w:val="normaltextrun"/>
        <w:rFonts w:ascii="Arial" w:hAnsi="Arial" w:cs="Arial"/>
        <w:b/>
        <w:bCs/>
        <w:sz w:val="18"/>
        <w:szCs w:val="18"/>
      </w:rPr>
      <w:tab/>
    </w:r>
    <w:r w:rsidR="004345E1" w:rsidRPr="00F21397">
      <w:rPr>
        <w:rStyle w:val="normaltextrun"/>
        <w:rFonts w:ascii="Arial" w:hAnsi="Arial" w:cs="Arial"/>
        <w:b/>
        <w:bCs/>
        <w:sz w:val="18"/>
        <w:szCs w:val="18"/>
      </w:rPr>
      <w:t xml:space="preserve">RÉGIMEN PRUDENCIAL DE LAS RESERVAS TÉCNICAS DE </w:t>
    </w:r>
    <w:r w:rsidR="00F21397" w:rsidRPr="00F21397">
      <w:rPr>
        <w:rStyle w:val="normaltextrun"/>
        <w:rFonts w:ascii="Arial" w:hAnsi="Arial" w:cs="Arial"/>
        <w:b/>
        <w:bCs/>
        <w:sz w:val="18"/>
        <w:szCs w:val="18"/>
      </w:rPr>
      <w:t>LAS ENTIDADES ASEGURADORA</w:t>
    </w:r>
    <w:r w:rsidR="008B2596">
      <w:rPr>
        <w:rStyle w:val="normaltextrun"/>
        <w:rFonts w:ascii="Arial" w:hAnsi="Arial" w:cs="Arial"/>
        <w:b/>
        <w:bCs/>
        <w:sz w:val="18"/>
        <w:szCs w:val="18"/>
      </w:rPr>
      <w:t>S</w:t>
    </w:r>
  </w:p>
  <w:p w14:paraId="5F08798C" w14:textId="77777777" w:rsidR="00355A40" w:rsidRPr="00F21397" w:rsidRDefault="00355A40" w:rsidP="00355A40">
    <w:pPr>
      <w:pStyle w:val="Encabezado"/>
      <w:ind w:left="1701" w:hanging="1701"/>
      <w:rPr>
        <w:rFonts w:ascii="Arial" w:hAnsi="Arial" w:cs="Arial"/>
        <w:b/>
        <w:sz w:val="18"/>
        <w:szCs w:val="18"/>
        <w:lang w:val="es-CO"/>
      </w:rPr>
    </w:pPr>
  </w:p>
  <w:p w14:paraId="0355C6DB" w14:textId="69DA162E" w:rsidR="00355A40" w:rsidRDefault="00355A40">
    <w:pPr>
      <w:pStyle w:val="Encabezado"/>
      <w:rPr>
        <w:rFonts w:ascii="Arial" w:hAnsi="Arial" w:cs="Arial"/>
        <w:b/>
        <w:sz w:val="18"/>
        <w:szCs w:val="18"/>
        <w:lang w:val="es-CO"/>
      </w:rPr>
    </w:pPr>
    <w:r w:rsidRPr="00F21397">
      <w:rPr>
        <w:rFonts w:ascii="Arial" w:hAnsi="Arial" w:cs="Arial"/>
        <w:b/>
        <w:sz w:val="18"/>
        <w:szCs w:val="18"/>
        <w:lang w:val="es-CO"/>
      </w:rPr>
      <w:t xml:space="preserve">Página </w:t>
    </w:r>
    <w:r w:rsidRPr="00F21397">
      <w:rPr>
        <w:rFonts w:ascii="Arial" w:hAnsi="Arial" w:cs="Arial"/>
        <w:b/>
        <w:sz w:val="18"/>
        <w:szCs w:val="18"/>
        <w:lang w:val="es-CO"/>
      </w:rPr>
      <w:fldChar w:fldCharType="begin"/>
    </w:r>
    <w:r w:rsidRPr="00F21397">
      <w:rPr>
        <w:rFonts w:ascii="Arial" w:hAnsi="Arial" w:cs="Arial"/>
        <w:b/>
        <w:sz w:val="18"/>
        <w:szCs w:val="18"/>
        <w:lang w:val="es-CO"/>
      </w:rPr>
      <w:instrText>PAGE   \* MERGEFORMAT</w:instrText>
    </w:r>
    <w:r w:rsidRPr="00F21397">
      <w:rPr>
        <w:rFonts w:ascii="Arial" w:hAnsi="Arial" w:cs="Arial"/>
        <w:b/>
        <w:sz w:val="18"/>
        <w:szCs w:val="18"/>
        <w:lang w:val="es-CO"/>
      </w:rPr>
      <w:fldChar w:fldCharType="separate"/>
    </w:r>
    <w:r w:rsidRPr="00F21397">
      <w:rPr>
        <w:rFonts w:ascii="Arial" w:hAnsi="Arial" w:cs="Arial"/>
        <w:b/>
        <w:sz w:val="18"/>
        <w:szCs w:val="18"/>
        <w:lang w:val="es-CO"/>
      </w:rPr>
      <w:t>2</w:t>
    </w:r>
    <w:r w:rsidRPr="00F21397">
      <w:rPr>
        <w:rFonts w:ascii="Arial" w:hAnsi="Arial" w:cs="Arial"/>
        <w:b/>
        <w:sz w:val="18"/>
        <w:szCs w:val="18"/>
        <w:lang w:val="es-CO"/>
      </w:rPr>
      <w:fldChar w:fldCharType="end"/>
    </w:r>
  </w:p>
  <w:p w14:paraId="1894521A" w14:textId="77777777" w:rsidR="00B52E60" w:rsidRPr="00F21397" w:rsidRDefault="00B52E60">
    <w:pPr>
      <w:pStyle w:val="Encabezado"/>
      <w:rPr>
        <w:rFonts w:ascii="Arial" w:hAnsi="Arial" w:cs="Arial"/>
        <w:b/>
        <w:sz w:val="18"/>
        <w:szCs w:val="18"/>
        <w:lang w:val="es-CO"/>
      </w:rPr>
    </w:pPr>
  </w:p>
  <w:p w14:paraId="366826A5" w14:textId="77777777" w:rsidR="005F5366" w:rsidRDefault="005F536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12D84"/>
    <w:multiLevelType w:val="hybridMultilevel"/>
    <w:tmpl w:val="B036B60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 w15:restartNumberingAfterBreak="0">
    <w:nsid w:val="0F735327"/>
    <w:multiLevelType w:val="hybridMultilevel"/>
    <w:tmpl w:val="A16E658A"/>
    <w:lvl w:ilvl="0" w:tplc="EA0A2A32">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DDA7A72"/>
    <w:multiLevelType w:val="hybridMultilevel"/>
    <w:tmpl w:val="388E334E"/>
    <w:lvl w:ilvl="0" w:tplc="85A0F18C">
      <w:start w:val="3"/>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343043C5"/>
    <w:multiLevelType w:val="hybridMultilevel"/>
    <w:tmpl w:val="569030BA"/>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8710B77"/>
    <w:multiLevelType w:val="hybridMultilevel"/>
    <w:tmpl w:val="17CA1A76"/>
    <w:lvl w:ilvl="0" w:tplc="7708E79C">
      <w:start w:val="1"/>
      <w:numFmt w:val="decimal"/>
      <w:lvlText w:val="%1)"/>
      <w:lvlJc w:val="left"/>
      <w:pPr>
        <w:ind w:left="1020" w:hanging="360"/>
      </w:pPr>
    </w:lvl>
    <w:lvl w:ilvl="1" w:tplc="FD123F16">
      <w:start w:val="1"/>
      <w:numFmt w:val="decimal"/>
      <w:lvlText w:val="%2)"/>
      <w:lvlJc w:val="left"/>
      <w:pPr>
        <w:ind w:left="1020" w:hanging="360"/>
      </w:pPr>
    </w:lvl>
    <w:lvl w:ilvl="2" w:tplc="C472DF62">
      <w:start w:val="1"/>
      <w:numFmt w:val="decimal"/>
      <w:lvlText w:val="%3)"/>
      <w:lvlJc w:val="left"/>
      <w:pPr>
        <w:ind w:left="1020" w:hanging="360"/>
      </w:pPr>
    </w:lvl>
    <w:lvl w:ilvl="3" w:tplc="56AA2D34">
      <w:start w:val="1"/>
      <w:numFmt w:val="decimal"/>
      <w:lvlText w:val="%4)"/>
      <w:lvlJc w:val="left"/>
      <w:pPr>
        <w:ind w:left="1020" w:hanging="360"/>
      </w:pPr>
    </w:lvl>
    <w:lvl w:ilvl="4" w:tplc="7152C3F8">
      <w:start w:val="1"/>
      <w:numFmt w:val="decimal"/>
      <w:lvlText w:val="%5)"/>
      <w:lvlJc w:val="left"/>
      <w:pPr>
        <w:ind w:left="1020" w:hanging="360"/>
      </w:pPr>
    </w:lvl>
    <w:lvl w:ilvl="5" w:tplc="91783068">
      <w:start w:val="1"/>
      <w:numFmt w:val="decimal"/>
      <w:lvlText w:val="%6)"/>
      <w:lvlJc w:val="left"/>
      <w:pPr>
        <w:ind w:left="1020" w:hanging="360"/>
      </w:pPr>
    </w:lvl>
    <w:lvl w:ilvl="6" w:tplc="50E493DA">
      <w:start w:val="1"/>
      <w:numFmt w:val="decimal"/>
      <w:lvlText w:val="%7)"/>
      <w:lvlJc w:val="left"/>
      <w:pPr>
        <w:ind w:left="1020" w:hanging="360"/>
      </w:pPr>
    </w:lvl>
    <w:lvl w:ilvl="7" w:tplc="81E4A6E2">
      <w:start w:val="1"/>
      <w:numFmt w:val="decimal"/>
      <w:lvlText w:val="%8)"/>
      <w:lvlJc w:val="left"/>
      <w:pPr>
        <w:ind w:left="1020" w:hanging="360"/>
      </w:pPr>
    </w:lvl>
    <w:lvl w:ilvl="8" w:tplc="B5C6D9A2">
      <w:start w:val="1"/>
      <w:numFmt w:val="decimal"/>
      <w:lvlText w:val="%9)"/>
      <w:lvlJc w:val="left"/>
      <w:pPr>
        <w:ind w:left="1020" w:hanging="360"/>
      </w:pPr>
    </w:lvl>
  </w:abstractNum>
  <w:abstractNum w:abstractNumId="5" w15:restartNumberingAfterBreak="0">
    <w:nsid w:val="3976108A"/>
    <w:multiLevelType w:val="multilevel"/>
    <w:tmpl w:val="82AEB0A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888545E"/>
    <w:multiLevelType w:val="hybridMultilevel"/>
    <w:tmpl w:val="D3A27394"/>
    <w:lvl w:ilvl="0" w:tplc="710AEE12">
      <w:start w:val="1"/>
      <w:numFmt w:val="lowerLetter"/>
      <w:lvlText w:val="%1."/>
      <w:lvlJc w:val="left"/>
      <w:pPr>
        <w:ind w:left="720" w:hanging="360"/>
      </w:pPr>
    </w:lvl>
    <w:lvl w:ilvl="1" w:tplc="E4BC8CB8">
      <w:start w:val="1"/>
      <w:numFmt w:val="lowerLetter"/>
      <w:lvlText w:val="%2."/>
      <w:lvlJc w:val="left"/>
      <w:pPr>
        <w:ind w:left="720" w:hanging="360"/>
      </w:pPr>
    </w:lvl>
    <w:lvl w:ilvl="2" w:tplc="133C5CDC">
      <w:start w:val="1"/>
      <w:numFmt w:val="lowerLetter"/>
      <w:lvlText w:val="%3."/>
      <w:lvlJc w:val="left"/>
      <w:pPr>
        <w:ind w:left="720" w:hanging="360"/>
      </w:pPr>
    </w:lvl>
    <w:lvl w:ilvl="3" w:tplc="E6F86EF4">
      <w:start w:val="1"/>
      <w:numFmt w:val="lowerLetter"/>
      <w:lvlText w:val="%4."/>
      <w:lvlJc w:val="left"/>
      <w:pPr>
        <w:ind w:left="720" w:hanging="360"/>
      </w:pPr>
    </w:lvl>
    <w:lvl w:ilvl="4" w:tplc="00E8003C">
      <w:start w:val="1"/>
      <w:numFmt w:val="lowerLetter"/>
      <w:lvlText w:val="%5."/>
      <w:lvlJc w:val="left"/>
      <w:pPr>
        <w:ind w:left="720" w:hanging="360"/>
      </w:pPr>
    </w:lvl>
    <w:lvl w:ilvl="5" w:tplc="4118C59C">
      <w:start w:val="1"/>
      <w:numFmt w:val="lowerLetter"/>
      <w:lvlText w:val="%6."/>
      <w:lvlJc w:val="left"/>
      <w:pPr>
        <w:ind w:left="720" w:hanging="360"/>
      </w:pPr>
    </w:lvl>
    <w:lvl w:ilvl="6" w:tplc="826E5130">
      <w:start w:val="1"/>
      <w:numFmt w:val="lowerLetter"/>
      <w:lvlText w:val="%7."/>
      <w:lvlJc w:val="left"/>
      <w:pPr>
        <w:ind w:left="720" w:hanging="360"/>
      </w:pPr>
    </w:lvl>
    <w:lvl w:ilvl="7" w:tplc="FBEAD1AE">
      <w:start w:val="1"/>
      <w:numFmt w:val="lowerLetter"/>
      <w:lvlText w:val="%8."/>
      <w:lvlJc w:val="left"/>
      <w:pPr>
        <w:ind w:left="720" w:hanging="360"/>
      </w:pPr>
    </w:lvl>
    <w:lvl w:ilvl="8" w:tplc="7C3C980C">
      <w:start w:val="1"/>
      <w:numFmt w:val="lowerLetter"/>
      <w:lvlText w:val="%9."/>
      <w:lvlJc w:val="left"/>
      <w:pPr>
        <w:ind w:left="720" w:hanging="360"/>
      </w:pPr>
    </w:lvl>
  </w:abstractNum>
  <w:abstractNum w:abstractNumId="7" w15:restartNumberingAfterBreak="0">
    <w:nsid w:val="4B11136B"/>
    <w:multiLevelType w:val="hybridMultilevel"/>
    <w:tmpl w:val="A35C83E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0884329"/>
    <w:multiLevelType w:val="multilevel"/>
    <w:tmpl w:val="15944A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bCs w:val="0"/>
      </w:rPr>
    </w:lvl>
    <w:lvl w:ilvl="2">
      <w:start w:val="1"/>
      <w:numFmt w:val="decimal"/>
      <w:isLgl/>
      <w:lvlText w:val="%1.%2.%3."/>
      <w:lvlJc w:val="left"/>
      <w:pPr>
        <w:ind w:left="1080" w:hanging="720"/>
      </w:pPr>
      <w:rPr>
        <w:rFonts w:hint="default"/>
        <w:b/>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32A384D"/>
    <w:multiLevelType w:val="multilevel"/>
    <w:tmpl w:val="636EFC22"/>
    <w:lvl w:ilvl="0">
      <w:start w:val="5"/>
      <w:numFmt w:val="decimal"/>
      <w:lvlText w:val="%1."/>
      <w:lvlJc w:val="left"/>
      <w:pPr>
        <w:ind w:left="510" w:hanging="510"/>
      </w:pPr>
      <w:rPr>
        <w:rFonts w:hint="default"/>
      </w:rPr>
    </w:lvl>
    <w:lvl w:ilvl="1">
      <w:start w:val="4"/>
      <w:numFmt w:val="decimal"/>
      <w:lvlText w:val="%1.%2."/>
      <w:lvlJc w:val="left"/>
      <w:pPr>
        <w:ind w:left="794" w:hanging="510"/>
      </w:pPr>
      <w:rPr>
        <w:rFonts w:hint="default"/>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5601A71"/>
    <w:multiLevelType w:val="hybridMultilevel"/>
    <w:tmpl w:val="A35C83E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AE41E03"/>
    <w:multiLevelType w:val="hybridMultilevel"/>
    <w:tmpl w:val="698A6E4E"/>
    <w:lvl w:ilvl="0" w:tplc="0AE0859C">
      <w:start w:val="1"/>
      <w:numFmt w:val="lowerLetter"/>
      <w:lvlText w:val="%1."/>
      <w:lvlJc w:val="left"/>
      <w:pPr>
        <w:ind w:left="720" w:hanging="360"/>
      </w:pPr>
      <w:rPr>
        <w:rFonts w:hint="default"/>
        <w:b w:val="0"/>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5B5473BD"/>
    <w:multiLevelType w:val="hybridMultilevel"/>
    <w:tmpl w:val="CBAE6A2A"/>
    <w:lvl w:ilvl="0" w:tplc="3454DA0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6A882D9F"/>
    <w:multiLevelType w:val="hybridMultilevel"/>
    <w:tmpl w:val="566017EE"/>
    <w:lvl w:ilvl="0" w:tplc="240A0019">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6AE81973"/>
    <w:multiLevelType w:val="hybridMultilevel"/>
    <w:tmpl w:val="670A60A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6D3E3871"/>
    <w:multiLevelType w:val="hybridMultilevel"/>
    <w:tmpl w:val="C05C32D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151293985">
    <w:abstractNumId w:val="8"/>
  </w:num>
  <w:num w:numId="2" w16cid:durableId="618681960">
    <w:abstractNumId w:val="13"/>
  </w:num>
  <w:num w:numId="3" w16cid:durableId="798034757">
    <w:abstractNumId w:val="12"/>
  </w:num>
  <w:num w:numId="4" w16cid:durableId="1287810637">
    <w:abstractNumId w:val="7"/>
  </w:num>
  <w:num w:numId="5" w16cid:durableId="567688691">
    <w:abstractNumId w:val="10"/>
  </w:num>
  <w:num w:numId="6" w16cid:durableId="2058233479">
    <w:abstractNumId w:val="11"/>
  </w:num>
  <w:num w:numId="7" w16cid:durableId="999771232">
    <w:abstractNumId w:val="9"/>
  </w:num>
  <w:num w:numId="8" w16cid:durableId="585572001">
    <w:abstractNumId w:val="14"/>
  </w:num>
  <w:num w:numId="9" w16cid:durableId="748964285">
    <w:abstractNumId w:val="1"/>
  </w:num>
  <w:num w:numId="10" w16cid:durableId="310524848">
    <w:abstractNumId w:val="5"/>
  </w:num>
  <w:num w:numId="11" w16cid:durableId="1053968483">
    <w:abstractNumId w:val="3"/>
  </w:num>
  <w:num w:numId="12" w16cid:durableId="1777482804">
    <w:abstractNumId w:val="15"/>
  </w:num>
  <w:num w:numId="13" w16cid:durableId="1355158530">
    <w:abstractNumId w:val="4"/>
  </w:num>
  <w:num w:numId="14" w16cid:durableId="1115756094">
    <w:abstractNumId w:val="6"/>
  </w:num>
  <w:num w:numId="15" w16cid:durableId="256863367">
    <w:abstractNumId w:val="2"/>
  </w:num>
  <w:num w:numId="16" w16cid:durableId="969095340">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794"/>
    <w:rsid w:val="000013D4"/>
    <w:rsid w:val="000018BC"/>
    <w:rsid w:val="000034E1"/>
    <w:rsid w:val="000040C0"/>
    <w:rsid w:val="0000433C"/>
    <w:rsid w:val="0000588E"/>
    <w:rsid w:val="00006194"/>
    <w:rsid w:val="000069FA"/>
    <w:rsid w:val="00007048"/>
    <w:rsid w:val="000078A7"/>
    <w:rsid w:val="00007F9C"/>
    <w:rsid w:val="000110A6"/>
    <w:rsid w:val="00011296"/>
    <w:rsid w:val="000117EB"/>
    <w:rsid w:val="00012612"/>
    <w:rsid w:val="00012734"/>
    <w:rsid w:val="00013031"/>
    <w:rsid w:val="00013688"/>
    <w:rsid w:val="00015042"/>
    <w:rsid w:val="00015919"/>
    <w:rsid w:val="00015968"/>
    <w:rsid w:val="000176E4"/>
    <w:rsid w:val="00017AB7"/>
    <w:rsid w:val="00020096"/>
    <w:rsid w:val="00020636"/>
    <w:rsid w:val="0002150A"/>
    <w:rsid w:val="000218B6"/>
    <w:rsid w:val="00021C57"/>
    <w:rsid w:val="00022225"/>
    <w:rsid w:val="000230DF"/>
    <w:rsid w:val="00023901"/>
    <w:rsid w:val="000241FD"/>
    <w:rsid w:val="00024DDB"/>
    <w:rsid w:val="00024F83"/>
    <w:rsid w:val="0002529A"/>
    <w:rsid w:val="00025BD2"/>
    <w:rsid w:val="00025E51"/>
    <w:rsid w:val="00026368"/>
    <w:rsid w:val="00026D1B"/>
    <w:rsid w:val="00027EF5"/>
    <w:rsid w:val="00031022"/>
    <w:rsid w:val="00031B89"/>
    <w:rsid w:val="00031ECD"/>
    <w:rsid w:val="0003227E"/>
    <w:rsid w:val="0003249A"/>
    <w:rsid w:val="000327D5"/>
    <w:rsid w:val="00032CE0"/>
    <w:rsid w:val="00032CF3"/>
    <w:rsid w:val="00032DEA"/>
    <w:rsid w:val="00032F18"/>
    <w:rsid w:val="000334EE"/>
    <w:rsid w:val="000338FC"/>
    <w:rsid w:val="00034AFD"/>
    <w:rsid w:val="00034B9D"/>
    <w:rsid w:val="00034DDE"/>
    <w:rsid w:val="00035E59"/>
    <w:rsid w:val="0003681C"/>
    <w:rsid w:val="00036D02"/>
    <w:rsid w:val="0003744E"/>
    <w:rsid w:val="000379D1"/>
    <w:rsid w:val="00037DCC"/>
    <w:rsid w:val="0004248B"/>
    <w:rsid w:val="00042CB3"/>
    <w:rsid w:val="00042CDB"/>
    <w:rsid w:val="00042DA4"/>
    <w:rsid w:val="00042E78"/>
    <w:rsid w:val="000435CB"/>
    <w:rsid w:val="00043DC8"/>
    <w:rsid w:val="00043E4E"/>
    <w:rsid w:val="00044224"/>
    <w:rsid w:val="00044344"/>
    <w:rsid w:val="00046C02"/>
    <w:rsid w:val="00047948"/>
    <w:rsid w:val="000515ED"/>
    <w:rsid w:val="00051A87"/>
    <w:rsid w:val="00051B14"/>
    <w:rsid w:val="000533CE"/>
    <w:rsid w:val="000545FD"/>
    <w:rsid w:val="00054A3A"/>
    <w:rsid w:val="0005550D"/>
    <w:rsid w:val="00056A44"/>
    <w:rsid w:val="0006003C"/>
    <w:rsid w:val="00060310"/>
    <w:rsid w:val="000603A3"/>
    <w:rsid w:val="00060931"/>
    <w:rsid w:val="00060A1E"/>
    <w:rsid w:val="00060BFD"/>
    <w:rsid w:val="00061705"/>
    <w:rsid w:val="00061D65"/>
    <w:rsid w:val="00062756"/>
    <w:rsid w:val="00064242"/>
    <w:rsid w:val="00064EA0"/>
    <w:rsid w:val="00066095"/>
    <w:rsid w:val="00066C45"/>
    <w:rsid w:val="0006726A"/>
    <w:rsid w:val="00067F10"/>
    <w:rsid w:val="00067F19"/>
    <w:rsid w:val="0007052C"/>
    <w:rsid w:val="00070C2F"/>
    <w:rsid w:val="000715DF"/>
    <w:rsid w:val="00072246"/>
    <w:rsid w:val="000722F5"/>
    <w:rsid w:val="000726EC"/>
    <w:rsid w:val="000749A6"/>
    <w:rsid w:val="0007521A"/>
    <w:rsid w:val="00075302"/>
    <w:rsid w:val="00075911"/>
    <w:rsid w:val="00075A0E"/>
    <w:rsid w:val="00076397"/>
    <w:rsid w:val="0007690D"/>
    <w:rsid w:val="00076BEF"/>
    <w:rsid w:val="00076F6C"/>
    <w:rsid w:val="0008176E"/>
    <w:rsid w:val="00081BC1"/>
    <w:rsid w:val="0008244E"/>
    <w:rsid w:val="00083667"/>
    <w:rsid w:val="00084E06"/>
    <w:rsid w:val="00085265"/>
    <w:rsid w:val="000865EE"/>
    <w:rsid w:val="00086B17"/>
    <w:rsid w:val="0008775A"/>
    <w:rsid w:val="000906A4"/>
    <w:rsid w:val="00091989"/>
    <w:rsid w:val="00092906"/>
    <w:rsid w:val="000929EE"/>
    <w:rsid w:val="000940EE"/>
    <w:rsid w:val="000946D8"/>
    <w:rsid w:val="00095DBC"/>
    <w:rsid w:val="00095E9F"/>
    <w:rsid w:val="00096485"/>
    <w:rsid w:val="000972F3"/>
    <w:rsid w:val="000975A4"/>
    <w:rsid w:val="00097700"/>
    <w:rsid w:val="00097B6F"/>
    <w:rsid w:val="000A0CCF"/>
    <w:rsid w:val="000A13C1"/>
    <w:rsid w:val="000A13E7"/>
    <w:rsid w:val="000A17B4"/>
    <w:rsid w:val="000A20AC"/>
    <w:rsid w:val="000A23AE"/>
    <w:rsid w:val="000A2D4C"/>
    <w:rsid w:val="000A2EF1"/>
    <w:rsid w:val="000A318B"/>
    <w:rsid w:val="000A3EFC"/>
    <w:rsid w:val="000A4259"/>
    <w:rsid w:val="000A42BB"/>
    <w:rsid w:val="000A471F"/>
    <w:rsid w:val="000A497C"/>
    <w:rsid w:val="000A5892"/>
    <w:rsid w:val="000A58A8"/>
    <w:rsid w:val="000A6691"/>
    <w:rsid w:val="000A7091"/>
    <w:rsid w:val="000A7C67"/>
    <w:rsid w:val="000B0290"/>
    <w:rsid w:val="000B0A6B"/>
    <w:rsid w:val="000B15EA"/>
    <w:rsid w:val="000B183E"/>
    <w:rsid w:val="000B2681"/>
    <w:rsid w:val="000B28AF"/>
    <w:rsid w:val="000B29BF"/>
    <w:rsid w:val="000B335D"/>
    <w:rsid w:val="000B35DF"/>
    <w:rsid w:val="000B4005"/>
    <w:rsid w:val="000B4AF9"/>
    <w:rsid w:val="000B5271"/>
    <w:rsid w:val="000B57E1"/>
    <w:rsid w:val="000B5F0F"/>
    <w:rsid w:val="000B687C"/>
    <w:rsid w:val="000B6FB6"/>
    <w:rsid w:val="000B74D0"/>
    <w:rsid w:val="000C025D"/>
    <w:rsid w:val="000C0BB3"/>
    <w:rsid w:val="000C0CAC"/>
    <w:rsid w:val="000C0D48"/>
    <w:rsid w:val="000C280D"/>
    <w:rsid w:val="000C29B2"/>
    <w:rsid w:val="000C2AFF"/>
    <w:rsid w:val="000C46AB"/>
    <w:rsid w:val="000C46E8"/>
    <w:rsid w:val="000C48E5"/>
    <w:rsid w:val="000C4C78"/>
    <w:rsid w:val="000C5456"/>
    <w:rsid w:val="000C54A4"/>
    <w:rsid w:val="000C55CC"/>
    <w:rsid w:val="000C57F7"/>
    <w:rsid w:val="000C619C"/>
    <w:rsid w:val="000C6464"/>
    <w:rsid w:val="000C65CA"/>
    <w:rsid w:val="000C6812"/>
    <w:rsid w:val="000C70F3"/>
    <w:rsid w:val="000C7448"/>
    <w:rsid w:val="000C76AB"/>
    <w:rsid w:val="000C77A2"/>
    <w:rsid w:val="000C77D4"/>
    <w:rsid w:val="000D106C"/>
    <w:rsid w:val="000D127F"/>
    <w:rsid w:val="000D158C"/>
    <w:rsid w:val="000D2633"/>
    <w:rsid w:val="000D2F65"/>
    <w:rsid w:val="000D320D"/>
    <w:rsid w:val="000D33CF"/>
    <w:rsid w:val="000D47BA"/>
    <w:rsid w:val="000D5E07"/>
    <w:rsid w:val="000D6781"/>
    <w:rsid w:val="000E1107"/>
    <w:rsid w:val="000E1247"/>
    <w:rsid w:val="000E1D2D"/>
    <w:rsid w:val="000E1D64"/>
    <w:rsid w:val="000E2728"/>
    <w:rsid w:val="000E2822"/>
    <w:rsid w:val="000E3192"/>
    <w:rsid w:val="000E3DFF"/>
    <w:rsid w:val="000E3F36"/>
    <w:rsid w:val="000E42A8"/>
    <w:rsid w:val="000E504B"/>
    <w:rsid w:val="000E50E0"/>
    <w:rsid w:val="000E54E7"/>
    <w:rsid w:val="000E65F4"/>
    <w:rsid w:val="000E6FAF"/>
    <w:rsid w:val="000E7156"/>
    <w:rsid w:val="000E7C3A"/>
    <w:rsid w:val="000E7F12"/>
    <w:rsid w:val="000F0011"/>
    <w:rsid w:val="000F062B"/>
    <w:rsid w:val="000F0BDB"/>
    <w:rsid w:val="000F0E63"/>
    <w:rsid w:val="000F27B8"/>
    <w:rsid w:val="000F27D1"/>
    <w:rsid w:val="000F2AC9"/>
    <w:rsid w:val="000F3AB5"/>
    <w:rsid w:val="000F3ABB"/>
    <w:rsid w:val="000F4054"/>
    <w:rsid w:val="000F5A3E"/>
    <w:rsid w:val="000F5D81"/>
    <w:rsid w:val="000F5ED3"/>
    <w:rsid w:val="000F67DE"/>
    <w:rsid w:val="000F68E8"/>
    <w:rsid w:val="000F7491"/>
    <w:rsid w:val="00101438"/>
    <w:rsid w:val="00101A65"/>
    <w:rsid w:val="001020C6"/>
    <w:rsid w:val="00102AE1"/>
    <w:rsid w:val="00103E66"/>
    <w:rsid w:val="0010436E"/>
    <w:rsid w:val="00104DD7"/>
    <w:rsid w:val="0010585F"/>
    <w:rsid w:val="00107B24"/>
    <w:rsid w:val="00107D4F"/>
    <w:rsid w:val="00107F76"/>
    <w:rsid w:val="0011098A"/>
    <w:rsid w:val="00110BCA"/>
    <w:rsid w:val="00111C01"/>
    <w:rsid w:val="001125B7"/>
    <w:rsid w:val="001136EC"/>
    <w:rsid w:val="00115EE0"/>
    <w:rsid w:val="00116C28"/>
    <w:rsid w:val="00116CF0"/>
    <w:rsid w:val="00117812"/>
    <w:rsid w:val="00117C48"/>
    <w:rsid w:val="00117F90"/>
    <w:rsid w:val="001203FC"/>
    <w:rsid w:val="00120826"/>
    <w:rsid w:val="00120A06"/>
    <w:rsid w:val="001215CA"/>
    <w:rsid w:val="00122A66"/>
    <w:rsid w:val="001230F8"/>
    <w:rsid w:val="0012326B"/>
    <w:rsid w:val="001235E8"/>
    <w:rsid w:val="001239B0"/>
    <w:rsid w:val="001244D0"/>
    <w:rsid w:val="0012557A"/>
    <w:rsid w:val="00125985"/>
    <w:rsid w:val="0012637F"/>
    <w:rsid w:val="00127424"/>
    <w:rsid w:val="0013009E"/>
    <w:rsid w:val="00130238"/>
    <w:rsid w:val="001306D5"/>
    <w:rsid w:val="0013129F"/>
    <w:rsid w:val="00132FF7"/>
    <w:rsid w:val="00133360"/>
    <w:rsid w:val="00133E3E"/>
    <w:rsid w:val="0013401F"/>
    <w:rsid w:val="00134125"/>
    <w:rsid w:val="001342DE"/>
    <w:rsid w:val="0013457F"/>
    <w:rsid w:val="00134AFF"/>
    <w:rsid w:val="00134FFC"/>
    <w:rsid w:val="00135E9A"/>
    <w:rsid w:val="00136B7A"/>
    <w:rsid w:val="00136CE2"/>
    <w:rsid w:val="00137146"/>
    <w:rsid w:val="00137FA4"/>
    <w:rsid w:val="0014048C"/>
    <w:rsid w:val="00140831"/>
    <w:rsid w:val="00140DC6"/>
    <w:rsid w:val="00141160"/>
    <w:rsid w:val="00141BF2"/>
    <w:rsid w:val="001444E0"/>
    <w:rsid w:val="00145D6A"/>
    <w:rsid w:val="001470A3"/>
    <w:rsid w:val="00147CC0"/>
    <w:rsid w:val="00152E5D"/>
    <w:rsid w:val="00153140"/>
    <w:rsid w:val="0015332D"/>
    <w:rsid w:val="001538AC"/>
    <w:rsid w:val="00153F0F"/>
    <w:rsid w:val="0015426D"/>
    <w:rsid w:val="001553A5"/>
    <w:rsid w:val="00157156"/>
    <w:rsid w:val="00157602"/>
    <w:rsid w:val="00157876"/>
    <w:rsid w:val="00157994"/>
    <w:rsid w:val="00157C63"/>
    <w:rsid w:val="001608E7"/>
    <w:rsid w:val="00160952"/>
    <w:rsid w:val="001612E6"/>
    <w:rsid w:val="00161833"/>
    <w:rsid w:val="001628FA"/>
    <w:rsid w:val="00162E0E"/>
    <w:rsid w:val="00162F64"/>
    <w:rsid w:val="00163F30"/>
    <w:rsid w:val="00164FB4"/>
    <w:rsid w:val="001651CF"/>
    <w:rsid w:val="00165961"/>
    <w:rsid w:val="00165A6A"/>
    <w:rsid w:val="00165FB9"/>
    <w:rsid w:val="001664AC"/>
    <w:rsid w:val="0016658B"/>
    <w:rsid w:val="00167CFB"/>
    <w:rsid w:val="00167ED1"/>
    <w:rsid w:val="001703F7"/>
    <w:rsid w:val="0017043A"/>
    <w:rsid w:val="001708CF"/>
    <w:rsid w:val="00171821"/>
    <w:rsid w:val="00171A82"/>
    <w:rsid w:val="00171F7E"/>
    <w:rsid w:val="00172498"/>
    <w:rsid w:val="0017280C"/>
    <w:rsid w:val="00172FE1"/>
    <w:rsid w:val="00173366"/>
    <w:rsid w:val="00173627"/>
    <w:rsid w:val="001746AA"/>
    <w:rsid w:val="00174971"/>
    <w:rsid w:val="00175A15"/>
    <w:rsid w:val="00176526"/>
    <w:rsid w:val="001767D0"/>
    <w:rsid w:val="00177814"/>
    <w:rsid w:val="00177A77"/>
    <w:rsid w:val="00177A7B"/>
    <w:rsid w:val="00180093"/>
    <w:rsid w:val="00180EFE"/>
    <w:rsid w:val="0018169F"/>
    <w:rsid w:val="00181CC7"/>
    <w:rsid w:val="001825ED"/>
    <w:rsid w:val="00183416"/>
    <w:rsid w:val="001834B1"/>
    <w:rsid w:val="00183888"/>
    <w:rsid w:val="00183FB3"/>
    <w:rsid w:val="00184132"/>
    <w:rsid w:val="00184854"/>
    <w:rsid w:val="00184A0C"/>
    <w:rsid w:val="001854CF"/>
    <w:rsid w:val="00186AD0"/>
    <w:rsid w:val="0018762E"/>
    <w:rsid w:val="001903BE"/>
    <w:rsid w:val="00190F0B"/>
    <w:rsid w:val="001913C3"/>
    <w:rsid w:val="0019190F"/>
    <w:rsid w:val="00191A23"/>
    <w:rsid w:val="00191E2F"/>
    <w:rsid w:val="0019214B"/>
    <w:rsid w:val="001927CD"/>
    <w:rsid w:val="00193053"/>
    <w:rsid w:val="00193780"/>
    <w:rsid w:val="00193FB4"/>
    <w:rsid w:val="0019428B"/>
    <w:rsid w:val="0019440F"/>
    <w:rsid w:val="001949F5"/>
    <w:rsid w:val="00195255"/>
    <w:rsid w:val="00195BFC"/>
    <w:rsid w:val="0019642A"/>
    <w:rsid w:val="00196AA0"/>
    <w:rsid w:val="00196CB8"/>
    <w:rsid w:val="001A057F"/>
    <w:rsid w:val="001A1100"/>
    <w:rsid w:val="001A116A"/>
    <w:rsid w:val="001A1554"/>
    <w:rsid w:val="001A1803"/>
    <w:rsid w:val="001A1B9C"/>
    <w:rsid w:val="001A26A1"/>
    <w:rsid w:val="001A26E1"/>
    <w:rsid w:val="001A279A"/>
    <w:rsid w:val="001A2EF3"/>
    <w:rsid w:val="001A4220"/>
    <w:rsid w:val="001A4902"/>
    <w:rsid w:val="001A53F3"/>
    <w:rsid w:val="001A549C"/>
    <w:rsid w:val="001A62A2"/>
    <w:rsid w:val="001A7789"/>
    <w:rsid w:val="001A793D"/>
    <w:rsid w:val="001A7E8C"/>
    <w:rsid w:val="001B0137"/>
    <w:rsid w:val="001B07B3"/>
    <w:rsid w:val="001B0B0B"/>
    <w:rsid w:val="001B0F34"/>
    <w:rsid w:val="001B390B"/>
    <w:rsid w:val="001B45BF"/>
    <w:rsid w:val="001B4D3E"/>
    <w:rsid w:val="001B51C0"/>
    <w:rsid w:val="001B5455"/>
    <w:rsid w:val="001B61DC"/>
    <w:rsid w:val="001B6868"/>
    <w:rsid w:val="001C006B"/>
    <w:rsid w:val="001C03CB"/>
    <w:rsid w:val="001C0633"/>
    <w:rsid w:val="001C0B15"/>
    <w:rsid w:val="001C0C56"/>
    <w:rsid w:val="001C0CFD"/>
    <w:rsid w:val="001C1432"/>
    <w:rsid w:val="001C27DA"/>
    <w:rsid w:val="001C2A30"/>
    <w:rsid w:val="001C3002"/>
    <w:rsid w:val="001C3EB0"/>
    <w:rsid w:val="001C6945"/>
    <w:rsid w:val="001C703F"/>
    <w:rsid w:val="001C792C"/>
    <w:rsid w:val="001D0F24"/>
    <w:rsid w:val="001D1519"/>
    <w:rsid w:val="001D21EF"/>
    <w:rsid w:val="001D295D"/>
    <w:rsid w:val="001D2BC4"/>
    <w:rsid w:val="001D312E"/>
    <w:rsid w:val="001D3B8D"/>
    <w:rsid w:val="001D40DF"/>
    <w:rsid w:val="001D48DF"/>
    <w:rsid w:val="001D49E1"/>
    <w:rsid w:val="001D4ADC"/>
    <w:rsid w:val="001D4CAF"/>
    <w:rsid w:val="001D58B8"/>
    <w:rsid w:val="001D6286"/>
    <w:rsid w:val="001D656C"/>
    <w:rsid w:val="001D65F0"/>
    <w:rsid w:val="001D6CDF"/>
    <w:rsid w:val="001D6E76"/>
    <w:rsid w:val="001D7EBC"/>
    <w:rsid w:val="001E0434"/>
    <w:rsid w:val="001E0F4F"/>
    <w:rsid w:val="001E191C"/>
    <w:rsid w:val="001E1968"/>
    <w:rsid w:val="001E35C5"/>
    <w:rsid w:val="001E406E"/>
    <w:rsid w:val="001E4923"/>
    <w:rsid w:val="001E4CD7"/>
    <w:rsid w:val="001E6180"/>
    <w:rsid w:val="001E6723"/>
    <w:rsid w:val="001E6A19"/>
    <w:rsid w:val="001E7C3E"/>
    <w:rsid w:val="001F0043"/>
    <w:rsid w:val="001F1025"/>
    <w:rsid w:val="001F142D"/>
    <w:rsid w:val="001F222A"/>
    <w:rsid w:val="001F303F"/>
    <w:rsid w:val="001F37EF"/>
    <w:rsid w:val="001F4C92"/>
    <w:rsid w:val="001F5E6F"/>
    <w:rsid w:val="001F6147"/>
    <w:rsid w:val="0020028A"/>
    <w:rsid w:val="00201162"/>
    <w:rsid w:val="00201D36"/>
    <w:rsid w:val="00202646"/>
    <w:rsid w:val="00202DD8"/>
    <w:rsid w:val="00202FC9"/>
    <w:rsid w:val="002041A9"/>
    <w:rsid w:val="002045AC"/>
    <w:rsid w:val="002051D0"/>
    <w:rsid w:val="002057BF"/>
    <w:rsid w:val="00205816"/>
    <w:rsid w:val="0020626E"/>
    <w:rsid w:val="0020677A"/>
    <w:rsid w:val="00206A7A"/>
    <w:rsid w:val="00206DE2"/>
    <w:rsid w:val="002104AC"/>
    <w:rsid w:val="00211879"/>
    <w:rsid w:val="00211E5E"/>
    <w:rsid w:val="002133FD"/>
    <w:rsid w:val="00213499"/>
    <w:rsid w:val="002145EB"/>
    <w:rsid w:val="00214D0D"/>
    <w:rsid w:val="00215893"/>
    <w:rsid w:val="00216480"/>
    <w:rsid w:val="002167F3"/>
    <w:rsid w:val="00216841"/>
    <w:rsid w:val="00216847"/>
    <w:rsid w:val="00216D52"/>
    <w:rsid w:val="00216F00"/>
    <w:rsid w:val="002179C1"/>
    <w:rsid w:val="00220401"/>
    <w:rsid w:val="00220437"/>
    <w:rsid w:val="002207A4"/>
    <w:rsid w:val="00221A0E"/>
    <w:rsid w:val="0022320C"/>
    <w:rsid w:val="0022339E"/>
    <w:rsid w:val="0022389C"/>
    <w:rsid w:val="00224239"/>
    <w:rsid w:val="002253A9"/>
    <w:rsid w:val="002256B2"/>
    <w:rsid w:val="00225CBA"/>
    <w:rsid w:val="002265F9"/>
    <w:rsid w:val="0023031E"/>
    <w:rsid w:val="002304AF"/>
    <w:rsid w:val="00231AAD"/>
    <w:rsid w:val="002320D3"/>
    <w:rsid w:val="0023221A"/>
    <w:rsid w:val="00232280"/>
    <w:rsid w:val="00233033"/>
    <w:rsid w:val="00233101"/>
    <w:rsid w:val="002337E9"/>
    <w:rsid w:val="002342E9"/>
    <w:rsid w:val="00234F53"/>
    <w:rsid w:val="00235133"/>
    <w:rsid w:val="002353AD"/>
    <w:rsid w:val="002355B2"/>
    <w:rsid w:val="00235ED0"/>
    <w:rsid w:val="002362E3"/>
    <w:rsid w:val="002372E6"/>
    <w:rsid w:val="00240A5A"/>
    <w:rsid w:val="00240C13"/>
    <w:rsid w:val="002418E2"/>
    <w:rsid w:val="00241F99"/>
    <w:rsid w:val="0024332D"/>
    <w:rsid w:val="00243578"/>
    <w:rsid w:val="0024475F"/>
    <w:rsid w:val="00245A27"/>
    <w:rsid w:val="00245D0F"/>
    <w:rsid w:val="0024629B"/>
    <w:rsid w:val="00246A74"/>
    <w:rsid w:val="00246DAD"/>
    <w:rsid w:val="00247C3F"/>
    <w:rsid w:val="00250242"/>
    <w:rsid w:val="0025353F"/>
    <w:rsid w:val="002538B4"/>
    <w:rsid w:val="00253D2A"/>
    <w:rsid w:val="002540E1"/>
    <w:rsid w:val="00254ABC"/>
    <w:rsid w:val="00254BA7"/>
    <w:rsid w:val="00254C25"/>
    <w:rsid w:val="002556E0"/>
    <w:rsid w:val="00255EB7"/>
    <w:rsid w:val="00256D06"/>
    <w:rsid w:val="002574FD"/>
    <w:rsid w:val="00257863"/>
    <w:rsid w:val="00260526"/>
    <w:rsid w:val="00261455"/>
    <w:rsid w:val="002617BB"/>
    <w:rsid w:val="00261A8C"/>
    <w:rsid w:val="00261BF6"/>
    <w:rsid w:val="00261EEE"/>
    <w:rsid w:val="00261F21"/>
    <w:rsid w:val="00261F53"/>
    <w:rsid w:val="00263516"/>
    <w:rsid w:val="00263D79"/>
    <w:rsid w:val="00264AD0"/>
    <w:rsid w:val="00265084"/>
    <w:rsid w:val="00265453"/>
    <w:rsid w:val="002678EB"/>
    <w:rsid w:val="00270E98"/>
    <w:rsid w:val="00270F8A"/>
    <w:rsid w:val="0027135C"/>
    <w:rsid w:val="00271A45"/>
    <w:rsid w:val="00271AF8"/>
    <w:rsid w:val="0027207D"/>
    <w:rsid w:val="002723EE"/>
    <w:rsid w:val="00273A8F"/>
    <w:rsid w:val="00274195"/>
    <w:rsid w:val="00274A36"/>
    <w:rsid w:val="0027533B"/>
    <w:rsid w:val="002754D6"/>
    <w:rsid w:val="0027555B"/>
    <w:rsid w:val="00275CD7"/>
    <w:rsid w:val="002761A8"/>
    <w:rsid w:val="00276274"/>
    <w:rsid w:val="002771D1"/>
    <w:rsid w:val="002774C9"/>
    <w:rsid w:val="0027773D"/>
    <w:rsid w:val="00277A69"/>
    <w:rsid w:val="002813DF"/>
    <w:rsid w:val="002818FF"/>
    <w:rsid w:val="00281C34"/>
    <w:rsid w:val="00281D74"/>
    <w:rsid w:val="00282066"/>
    <w:rsid w:val="002826C8"/>
    <w:rsid w:val="00282729"/>
    <w:rsid w:val="00282F6C"/>
    <w:rsid w:val="00284DC9"/>
    <w:rsid w:val="00285466"/>
    <w:rsid w:val="0028581F"/>
    <w:rsid w:val="00287720"/>
    <w:rsid w:val="00287A49"/>
    <w:rsid w:val="0029019E"/>
    <w:rsid w:val="00290410"/>
    <w:rsid w:val="00290D8D"/>
    <w:rsid w:val="00291093"/>
    <w:rsid w:val="00291572"/>
    <w:rsid w:val="00291BCD"/>
    <w:rsid w:val="002924EB"/>
    <w:rsid w:val="002924F0"/>
    <w:rsid w:val="002926BF"/>
    <w:rsid w:val="0029303E"/>
    <w:rsid w:val="00294522"/>
    <w:rsid w:val="00294A2E"/>
    <w:rsid w:val="00294EBE"/>
    <w:rsid w:val="002954C7"/>
    <w:rsid w:val="00296F7F"/>
    <w:rsid w:val="00297BD4"/>
    <w:rsid w:val="002A01D8"/>
    <w:rsid w:val="002A1401"/>
    <w:rsid w:val="002A3C68"/>
    <w:rsid w:val="002A3E6C"/>
    <w:rsid w:val="002A3F4D"/>
    <w:rsid w:val="002A3F66"/>
    <w:rsid w:val="002A4936"/>
    <w:rsid w:val="002A675E"/>
    <w:rsid w:val="002A67F1"/>
    <w:rsid w:val="002A684E"/>
    <w:rsid w:val="002A7283"/>
    <w:rsid w:val="002A788C"/>
    <w:rsid w:val="002A7D77"/>
    <w:rsid w:val="002B0478"/>
    <w:rsid w:val="002B0BD3"/>
    <w:rsid w:val="002B0C06"/>
    <w:rsid w:val="002B26E3"/>
    <w:rsid w:val="002B33E9"/>
    <w:rsid w:val="002B4B3D"/>
    <w:rsid w:val="002B588B"/>
    <w:rsid w:val="002B5970"/>
    <w:rsid w:val="002B6E0A"/>
    <w:rsid w:val="002C1061"/>
    <w:rsid w:val="002C18CE"/>
    <w:rsid w:val="002C251B"/>
    <w:rsid w:val="002C28E4"/>
    <w:rsid w:val="002C2923"/>
    <w:rsid w:val="002C4638"/>
    <w:rsid w:val="002C48DD"/>
    <w:rsid w:val="002C4D73"/>
    <w:rsid w:val="002C4EE0"/>
    <w:rsid w:val="002C58AB"/>
    <w:rsid w:val="002C6CCF"/>
    <w:rsid w:val="002C788B"/>
    <w:rsid w:val="002C7E70"/>
    <w:rsid w:val="002D0BEE"/>
    <w:rsid w:val="002D1510"/>
    <w:rsid w:val="002D2258"/>
    <w:rsid w:val="002D29BC"/>
    <w:rsid w:val="002D2AC1"/>
    <w:rsid w:val="002D3B66"/>
    <w:rsid w:val="002D3D4C"/>
    <w:rsid w:val="002D5CCF"/>
    <w:rsid w:val="002D666F"/>
    <w:rsid w:val="002D699B"/>
    <w:rsid w:val="002D7037"/>
    <w:rsid w:val="002D7560"/>
    <w:rsid w:val="002E080C"/>
    <w:rsid w:val="002E09CF"/>
    <w:rsid w:val="002E17B5"/>
    <w:rsid w:val="002E4A48"/>
    <w:rsid w:val="002E4CF3"/>
    <w:rsid w:val="002E5463"/>
    <w:rsid w:val="002E6163"/>
    <w:rsid w:val="002E6D5A"/>
    <w:rsid w:val="002E7A73"/>
    <w:rsid w:val="002F02D1"/>
    <w:rsid w:val="002F03A6"/>
    <w:rsid w:val="002F0A18"/>
    <w:rsid w:val="002F0EA7"/>
    <w:rsid w:val="002F10CA"/>
    <w:rsid w:val="002F10E5"/>
    <w:rsid w:val="002F1285"/>
    <w:rsid w:val="002F1447"/>
    <w:rsid w:val="002F161F"/>
    <w:rsid w:val="002F1BD2"/>
    <w:rsid w:val="002F2121"/>
    <w:rsid w:val="002F2E81"/>
    <w:rsid w:val="002F3001"/>
    <w:rsid w:val="002F317A"/>
    <w:rsid w:val="002F392A"/>
    <w:rsid w:val="002F41E6"/>
    <w:rsid w:val="002F5721"/>
    <w:rsid w:val="002F6FE0"/>
    <w:rsid w:val="002F7C54"/>
    <w:rsid w:val="00300041"/>
    <w:rsid w:val="003002F4"/>
    <w:rsid w:val="00302513"/>
    <w:rsid w:val="00302585"/>
    <w:rsid w:val="00302914"/>
    <w:rsid w:val="00304795"/>
    <w:rsid w:val="003048AC"/>
    <w:rsid w:val="003056C9"/>
    <w:rsid w:val="003068F1"/>
    <w:rsid w:val="00306AE7"/>
    <w:rsid w:val="003109F2"/>
    <w:rsid w:val="00310A67"/>
    <w:rsid w:val="00310F45"/>
    <w:rsid w:val="00311727"/>
    <w:rsid w:val="00312591"/>
    <w:rsid w:val="003135A8"/>
    <w:rsid w:val="0031369E"/>
    <w:rsid w:val="003137F1"/>
    <w:rsid w:val="00313AEC"/>
    <w:rsid w:val="0031441D"/>
    <w:rsid w:val="00314477"/>
    <w:rsid w:val="003144C9"/>
    <w:rsid w:val="00314915"/>
    <w:rsid w:val="00317080"/>
    <w:rsid w:val="0032073D"/>
    <w:rsid w:val="00321C9B"/>
    <w:rsid w:val="003222B9"/>
    <w:rsid w:val="00322702"/>
    <w:rsid w:val="003231CA"/>
    <w:rsid w:val="00323596"/>
    <w:rsid w:val="00325D61"/>
    <w:rsid w:val="0032601E"/>
    <w:rsid w:val="003302C3"/>
    <w:rsid w:val="00331E13"/>
    <w:rsid w:val="0033243E"/>
    <w:rsid w:val="00332536"/>
    <w:rsid w:val="00332F71"/>
    <w:rsid w:val="00333621"/>
    <w:rsid w:val="00336E82"/>
    <w:rsid w:val="00337994"/>
    <w:rsid w:val="00337AEE"/>
    <w:rsid w:val="0034018F"/>
    <w:rsid w:val="00340A23"/>
    <w:rsid w:val="00340FCE"/>
    <w:rsid w:val="00341C73"/>
    <w:rsid w:val="003422A4"/>
    <w:rsid w:val="00345345"/>
    <w:rsid w:val="00345404"/>
    <w:rsid w:val="003456AF"/>
    <w:rsid w:val="00345D5D"/>
    <w:rsid w:val="00345EBA"/>
    <w:rsid w:val="00346FE5"/>
    <w:rsid w:val="003501CC"/>
    <w:rsid w:val="003504ED"/>
    <w:rsid w:val="00351075"/>
    <w:rsid w:val="00351E00"/>
    <w:rsid w:val="003521C8"/>
    <w:rsid w:val="0035249B"/>
    <w:rsid w:val="00352B68"/>
    <w:rsid w:val="0035336F"/>
    <w:rsid w:val="003535E5"/>
    <w:rsid w:val="00354084"/>
    <w:rsid w:val="00354139"/>
    <w:rsid w:val="003549E1"/>
    <w:rsid w:val="00354A41"/>
    <w:rsid w:val="00355415"/>
    <w:rsid w:val="00355A40"/>
    <w:rsid w:val="00355C80"/>
    <w:rsid w:val="0035782E"/>
    <w:rsid w:val="00357C18"/>
    <w:rsid w:val="00360154"/>
    <w:rsid w:val="00360437"/>
    <w:rsid w:val="0036225D"/>
    <w:rsid w:val="00362665"/>
    <w:rsid w:val="003637BF"/>
    <w:rsid w:val="00363B7B"/>
    <w:rsid w:val="00363EE1"/>
    <w:rsid w:val="00363EE6"/>
    <w:rsid w:val="003642B0"/>
    <w:rsid w:val="003645E4"/>
    <w:rsid w:val="00364995"/>
    <w:rsid w:val="00366257"/>
    <w:rsid w:val="003663D2"/>
    <w:rsid w:val="00366455"/>
    <w:rsid w:val="003664BA"/>
    <w:rsid w:val="00366887"/>
    <w:rsid w:val="00366B1C"/>
    <w:rsid w:val="00367CF2"/>
    <w:rsid w:val="00370722"/>
    <w:rsid w:val="003710F8"/>
    <w:rsid w:val="00371E4D"/>
    <w:rsid w:val="00372A08"/>
    <w:rsid w:val="0037351A"/>
    <w:rsid w:val="00373DBC"/>
    <w:rsid w:val="003747F6"/>
    <w:rsid w:val="00374A65"/>
    <w:rsid w:val="00374BF1"/>
    <w:rsid w:val="00374DB9"/>
    <w:rsid w:val="003755CC"/>
    <w:rsid w:val="00375A9B"/>
    <w:rsid w:val="00377210"/>
    <w:rsid w:val="00380501"/>
    <w:rsid w:val="003806FF"/>
    <w:rsid w:val="0038305E"/>
    <w:rsid w:val="00383AA6"/>
    <w:rsid w:val="00383EF6"/>
    <w:rsid w:val="003845C9"/>
    <w:rsid w:val="00384C45"/>
    <w:rsid w:val="00385116"/>
    <w:rsid w:val="00385819"/>
    <w:rsid w:val="00386317"/>
    <w:rsid w:val="00386409"/>
    <w:rsid w:val="0038711A"/>
    <w:rsid w:val="0038722F"/>
    <w:rsid w:val="00387EB4"/>
    <w:rsid w:val="003904D0"/>
    <w:rsid w:val="003904EF"/>
    <w:rsid w:val="0039083B"/>
    <w:rsid w:val="00391236"/>
    <w:rsid w:val="00391E3A"/>
    <w:rsid w:val="00391FA6"/>
    <w:rsid w:val="00392DD7"/>
    <w:rsid w:val="00393033"/>
    <w:rsid w:val="00393801"/>
    <w:rsid w:val="00393F67"/>
    <w:rsid w:val="00394618"/>
    <w:rsid w:val="00395628"/>
    <w:rsid w:val="00396EC3"/>
    <w:rsid w:val="003971E0"/>
    <w:rsid w:val="003972D5"/>
    <w:rsid w:val="003975FB"/>
    <w:rsid w:val="00397B17"/>
    <w:rsid w:val="00397B5F"/>
    <w:rsid w:val="003A03AF"/>
    <w:rsid w:val="003A0467"/>
    <w:rsid w:val="003A0495"/>
    <w:rsid w:val="003A0CB4"/>
    <w:rsid w:val="003A1851"/>
    <w:rsid w:val="003A1D9D"/>
    <w:rsid w:val="003A2A18"/>
    <w:rsid w:val="003A2F12"/>
    <w:rsid w:val="003A3139"/>
    <w:rsid w:val="003A336E"/>
    <w:rsid w:val="003A3675"/>
    <w:rsid w:val="003A3FD7"/>
    <w:rsid w:val="003A4428"/>
    <w:rsid w:val="003A4F98"/>
    <w:rsid w:val="003A53CD"/>
    <w:rsid w:val="003A662A"/>
    <w:rsid w:val="003A724F"/>
    <w:rsid w:val="003A753E"/>
    <w:rsid w:val="003B0857"/>
    <w:rsid w:val="003B0B96"/>
    <w:rsid w:val="003B0CD7"/>
    <w:rsid w:val="003B150F"/>
    <w:rsid w:val="003B1ACF"/>
    <w:rsid w:val="003B1BC8"/>
    <w:rsid w:val="003B2B0A"/>
    <w:rsid w:val="003B3167"/>
    <w:rsid w:val="003B50F4"/>
    <w:rsid w:val="003B62A7"/>
    <w:rsid w:val="003B6818"/>
    <w:rsid w:val="003B7627"/>
    <w:rsid w:val="003B76C1"/>
    <w:rsid w:val="003C02AC"/>
    <w:rsid w:val="003C0A0B"/>
    <w:rsid w:val="003C0A6B"/>
    <w:rsid w:val="003C1DD5"/>
    <w:rsid w:val="003C1FA3"/>
    <w:rsid w:val="003C2203"/>
    <w:rsid w:val="003C2FB9"/>
    <w:rsid w:val="003C4345"/>
    <w:rsid w:val="003C4CF2"/>
    <w:rsid w:val="003C4ED5"/>
    <w:rsid w:val="003C50DE"/>
    <w:rsid w:val="003C547D"/>
    <w:rsid w:val="003C5A40"/>
    <w:rsid w:val="003C61D8"/>
    <w:rsid w:val="003C6518"/>
    <w:rsid w:val="003C65BF"/>
    <w:rsid w:val="003C7252"/>
    <w:rsid w:val="003C78C8"/>
    <w:rsid w:val="003D1B30"/>
    <w:rsid w:val="003D1FCD"/>
    <w:rsid w:val="003D30BB"/>
    <w:rsid w:val="003D7A2D"/>
    <w:rsid w:val="003D7DE7"/>
    <w:rsid w:val="003E08F8"/>
    <w:rsid w:val="003E0C16"/>
    <w:rsid w:val="003E267E"/>
    <w:rsid w:val="003E2D6D"/>
    <w:rsid w:val="003E3454"/>
    <w:rsid w:val="003E3761"/>
    <w:rsid w:val="003E3C01"/>
    <w:rsid w:val="003E3E32"/>
    <w:rsid w:val="003E4450"/>
    <w:rsid w:val="003E4585"/>
    <w:rsid w:val="003E4B67"/>
    <w:rsid w:val="003E7B45"/>
    <w:rsid w:val="003F0423"/>
    <w:rsid w:val="003F0611"/>
    <w:rsid w:val="003F0DB9"/>
    <w:rsid w:val="003F0E17"/>
    <w:rsid w:val="003F14DE"/>
    <w:rsid w:val="003F1C94"/>
    <w:rsid w:val="003F24F3"/>
    <w:rsid w:val="003F288D"/>
    <w:rsid w:val="003F3C3F"/>
    <w:rsid w:val="003F46CF"/>
    <w:rsid w:val="003F4A28"/>
    <w:rsid w:val="003F4F4B"/>
    <w:rsid w:val="003F54EF"/>
    <w:rsid w:val="003F6585"/>
    <w:rsid w:val="003F6BE1"/>
    <w:rsid w:val="003F6C06"/>
    <w:rsid w:val="003F7982"/>
    <w:rsid w:val="0040014A"/>
    <w:rsid w:val="004010E8"/>
    <w:rsid w:val="004018F2"/>
    <w:rsid w:val="00401C2B"/>
    <w:rsid w:val="0040251D"/>
    <w:rsid w:val="004026DD"/>
    <w:rsid w:val="0040298A"/>
    <w:rsid w:val="00403939"/>
    <w:rsid w:val="00403E0C"/>
    <w:rsid w:val="00404A97"/>
    <w:rsid w:val="00404B93"/>
    <w:rsid w:val="00406971"/>
    <w:rsid w:val="00406A0A"/>
    <w:rsid w:val="00406AF3"/>
    <w:rsid w:val="00410309"/>
    <w:rsid w:val="00410547"/>
    <w:rsid w:val="00410B74"/>
    <w:rsid w:val="00411AA1"/>
    <w:rsid w:val="00411DFF"/>
    <w:rsid w:val="004130DF"/>
    <w:rsid w:val="004137A7"/>
    <w:rsid w:val="00416008"/>
    <w:rsid w:val="00416CA0"/>
    <w:rsid w:val="0042017F"/>
    <w:rsid w:val="00420810"/>
    <w:rsid w:val="0042141D"/>
    <w:rsid w:val="00421661"/>
    <w:rsid w:val="00421AB2"/>
    <w:rsid w:val="00423293"/>
    <w:rsid w:val="00424710"/>
    <w:rsid w:val="00427748"/>
    <w:rsid w:val="00430DF9"/>
    <w:rsid w:val="0043112E"/>
    <w:rsid w:val="00432062"/>
    <w:rsid w:val="00432173"/>
    <w:rsid w:val="00432C47"/>
    <w:rsid w:val="00433099"/>
    <w:rsid w:val="004331CF"/>
    <w:rsid w:val="004335F1"/>
    <w:rsid w:val="00433C6C"/>
    <w:rsid w:val="004345E1"/>
    <w:rsid w:val="0043465E"/>
    <w:rsid w:val="00435C01"/>
    <w:rsid w:val="00435FFD"/>
    <w:rsid w:val="00436728"/>
    <w:rsid w:val="00436B95"/>
    <w:rsid w:val="00436D98"/>
    <w:rsid w:val="00436E55"/>
    <w:rsid w:val="00437352"/>
    <w:rsid w:val="0044014C"/>
    <w:rsid w:val="00440915"/>
    <w:rsid w:val="00442640"/>
    <w:rsid w:val="00442755"/>
    <w:rsid w:val="00444184"/>
    <w:rsid w:val="00446134"/>
    <w:rsid w:val="00446B20"/>
    <w:rsid w:val="004500D5"/>
    <w:rsid w:val="00452E94"/>
    <w:rsid w:val="00452EC9"/>
    <w:rsid w:val="00453A68"/>
    <w:rsid w:val="00453C0C"/>
    <w:rsid w:val="0045416C"/>
    <w:rsid w:val="004545E0"/>
    <w:rsid w:val="00454CCC"/>
    <w:rsid w:val="0045539A"/>
    <w:rsid w:val="00456F8C"/>
    <w:rsid w:val="00457898"/>
    <w:rsid w:val="00457C5E"/>
    <w:rsid w:val="004601C8"/>
    <w:rsid w:val="00460578"/>
    <w:rsid w:val="00460C18"/>
    <w:rsid w:val="00460D41"/>
    <w:rsid w:val="00461531"/>
    <w:rsid w:val="00461A0B"/>
    <w:rsid w:val="00461C82"/>
    <w:rsid w:val="00462216"/>
    <w:rsid w:val="004640BD"/>
    <w:rsid w:val="004642AF"/>
    <w:rsid w:val="00464B39"/>
    <w:rsid w:val="00464BF1"/>
    <w:rsid w:val="00464C67"/>
    <w:rsid w:val="00465D81"/>
    <w:rsid w:val="00465E2E"/>
    <w:rsid w:val="004660AD"/>
    <w:rsid w:val="0046663B"/>
    <w:rsid w:val="00467724"/>
    <w:rsid w:val="00467E15"/>
    <w:rsid w:val="004711ED"/>
    <w:rsid w:val="00472319"/>
    <w:rsid w:val="00473278"/>
    <w:rsid w:val="004735BE"/>
    <w:rsid w:val="0047524C"/>
    <w:rsid w:val="00476143"/>
    <w:rsid w:val="004766FE"/>
    <w:rsid w:val="0047789B"/>
    <w:rsid w:val="00477924"/>
    <w:rsid w:val="00480123"/>
    <w:rsid w:val="00480A81"/>
    <w:rsid w:val="004814DD"/>
    <w:rsid w:val="00481D7A"/>
    <w:rsid w:val="00482A01"/>
    <w:rsid w:val="00483C8A"/>
    <w:rsid w:val="00483EF8"/>
    <w:rsid w:val="004840C7"/>
    <w:rsid w:val="00485270"/>
    <w:rsid w:val="0048539C"/>
    <w:rsid w:val="00485734"/>
    <w:rsid w:val="00485B24"/>
    <w:rsid w:val="004860AF"/>
    <w:rsid w:val="004907CC"/>
    <w:rsid w:val="00490E6F"/>
    <w:rsid w:val="0049123C"/>
    <w:rsid w:val="00492231"/>
    <w:rsid w:val="004922A8"/>
    <w:rsid w:val="0049269D"/>
    <w:rsid w:val="00492ABF"/>
    <w:rsid w:val="00492F6A"/>
    <w:rsid w:val="004936A5"/>
    <w:rsid w:val="00495379"/>
    <w:rsid w:val="00495B24"/>
    <w:rsid w:val="00496358"/>
    <w:rsid w:val="00496487"/>
    <w:rsid w:val="00496654"/>
    <w:rsid w:val="004970A8"/>
    <w:rsid w:val="004972FF"/>
    <w:rsid w:val="00497A8D"/>
    <w:rsid w:val="00497D6C"/>
    <w:rsid w:val="004A0250"/>
    <w:rsid w:val="004A1640"/>
    <w:rsid w:val="004A34B4"/>
    <w:rsid w:val="004A3521"/>
    <w:rsid w:val="004A39E4"/>
    <w:rsid w:val="004A3A08"/>
    <w:rsid w:val="004A3BF5"/>
    <w:rsid w:val="004A405C"/>
    <w:rsid w:val="004A40DB"/>
    <w:rsid w:val="004A458B"/>
    <w:rsid w:val="004A4FCB"/>
    <w:rsid w:val="004A5653"/>
    <w:rsid w:val="004A5980"/>
    <w:rsid w:val="004A5DAB"/>
    <w:rsid w:val="004A6012"/>
    <w:rsid w:val="004A6FEF"/>
    <w:rsid w:val="004A7C65"/>
    <w:rsid w:val="004B0975"/>
    <w:rsid w:val="004B0AEA"/>
    <w:rsid w:val="004B0D2C"/>
    <w:rsid w:val="004B118A"/>
    <w:rsid w:val="004B18B1"/>
    <w:rsid w:val="004B1969"/>
    <w:rsid w:val="004B2486"/>
    <w:rsid w:val="004B2787"/>
    <w:rsid w:val="004B34A5"/>
    <w:rsid w:val="004B3759"/>
    <w:rsid w:val="004B3F2A"/>
    <w:rsid w:val="004B4908"/>
    <w:rsid w:val="004B49F0"/>
    <w:rsid w:val="004B4B1A"/>
    <w:rsid w:val="004B4C7E"/>
    <w:rsid w:val="004B608F"/>
    <w:rsid w:val="004B6CF8"/>
    <w:rsid w:val="004B7789"/>
    <w:rsid w:val="004B780F"/>
    <w:rsid w:val="004B7EE0"/>
    <w:rsid w:val="004C044D"/>
    <w:rsid w:val="004C0575"/>
    <w:rsid w:val="004C06C8"/>
    <w:rsid w:val="004C1704"/>
    <w:rsid w:val="004C21DE"/>
    <w:rsid w:val="004C24A3"/>
    <w:rsid w:val="004C2620"/>
    <w:rsid w:val="004C2E37"/>
    <w:rsid w:val="004C3755"/>
    <w:rsid w:val="004C3E14"/>
    <w:rsid w:val="004C44FC"/>
    <w:rsid w:val="004C4818"/>
    <w:rsid w:val="004C4AA2"/>
    <w:rsid w:val="004C595E"/>
    <w:rsid w:val="004C5BD6"/>
    <w:rsid w:val="004C62E8"/>
    <w:rsid w:val="004C6AFA"/>
    <w:rsid w:val="004C6CDE"/>
    <w:rsid w:val="004C7E74"/>
    <w:rsid w:val="004D01A2"/>
    <w:rsid w:val="004D0201"/>
    <w:rsid w:val="004D1D16"/>
    <w:rsid w:val="004D2DFB"/>
    <w:rsid w:val="004D3523"/>
    <w:rsid w:val="004D4129"/>
    <w:rsid w:val="004D41A0"/>
    <w:rsid w:val="004D4B0E"/>
    <w:rsid w:val="004D512D"/>
    <w:rsid w:val="004D526D"/>
    <w:rsid w:val="004D5726"/>
    <w:rsid w:val="004D6019"/>
    <w:rsid w:val="004D695B"/>
    <w:rsid w:val="004D6B81"/>
    <w:rsid w:val="004D6D1E"/>
    <w:rsid w:val="004D745B"/>
    <w:rsid w:val="004D79D1"/>
    <w:rsid w:val="004E03C9"/>
    <w:rsid w:val="004E35FD"/>
    <w:rsid w:val="004E40C6"/>
    <w:rsid w:val="004E40CA"/>
    <w:rsid w:val="004E414F"/>
    <w:rsid w:val="004E4442"/>
    <w:rsid w:val="004E5383"/>
    <w:rsid w:val="004E54D6"/>
    <w:rsid w:val="004E58EC"/>
    <w:rsid w:val="004E6071"/>
    <w:rsid w:val="004E61B2"/>
    <w:rsid w:val="004E6456"/>
    <w:rsid w:val="004E68F4"/>
    <w:rsid w:val="004E6DBC"/>
    <w:rsid w:val="004E7103"/>
    <w:rsid w:val="004E78B2"/>
    <w:rsid w:val="004E7BD4"/>
    <w:rsid w:val="004E7D67"/>
    <w:rsid w:val="004F04AD"/>
    <w:rsid w:val="004F1A46"/>
    <w:rsid w:val="004F2074"/>
    <w:rsid w:val="004F21AB"/>
    <w:rsid w:val="004F2978"/>
    <w:rsid w:val="004F29A8"/>
    <w:rsid w:val="004F2A9B"/>
    <w:rsid w:val="004F37A8"/>
    <w:rsid w:val="004F37C4"/>
    <w:rsid w:val="004F4008"/>
    <w:rsid w:val="004F40F2"/>
    <w:rsid w:val="004F4AB5"/>
    <w:rsid w:val="004F4AE7"/>
    <w:rsid w:val="004F53A9"/>
    <w:rsid w:val="004F5884"/>
    <w:rsid w:val="004F594A"/>
    <w:rsid w:val="004F5BCD"/>
    <w:rsid w:val="004F7898"/>
    <w:rsid w:val="004F79A8"/>
    <w:rsid w:val="00500617"/>
    <w:rsid w:val="00500672"/>
    <w:rsid w:val="005010DA"/>
    <w:rsid w:val="00501A5B"/>
    <w:rsid w:val="005031BA"/>
    <w:rsid w:val="0050344F"/>
    <w:rsid w:val="00503F29"/>
    <w:rsid w:val="0050411A"/>
    <w:rsid w:val="005048C8"/>
    <w:rsid w:val="00506F20"/>
    <w:rsid w:val="00507C22"/>
    <w:rsid w:val="005101E6"/>
    <w:rsid w:val="0051043B"/>
    <w:rsid w:val="00510497"/>
    <w:rsid w:val="00511052"/>
    <w:rsid w:val="0051131E"/>
    <w:rsid w:val="00512982"/>
    <w:rsid w:val="00515D99"/>
    <w:rsid w:val="00517358"/>
    <w:rsid w:val="005174C4"/>
    <w:rsid w:val="00517E09"/>
    <w:rsid w:val="00521254"/>
    <w:rsid w:val="00521A84"/>
    <w:rsid w:val="005223CB"/>
    <w:rsid w:val="00522908"/>
    <w:rsid w:val="00523843"/>
    <w:rsid w:val="005248BA"/>
    <w:rsid w:val="00525975"/>
    <w:rsid w:val="0052625B"/>
    <w:rsid w:val="00526CDA"/>
    <w:rsid w:val="0052735E"/>
    <w:rsid w:val="00527CDA"/>
    <w:rsid w:val="00530C66"/>
    <w:rsid w:val="005319EB"/>
    <w:rsid w:val="005330E0"/>
    <w:rsid w:val="00536F1D"/>
    <w:rsid w:val="00540CF7"/>
    <w:rsid w:val="0054119D"/>
    <w:rsid w:val="0054136E"/>
    <w:rsid w:val="00542E74"/>
    <w:rsid w:val="00543302"/>
    <w:rsid w:val="00545701"/>
    <w:rsid w:val="0054598F"/>
    <w:rsid w:val="00545CD5"/>
    <w:rsid w:val="005462F8"/>
    <w:rsid w:val="00547868"/>
    <w:rsid w:val="005479D6"/>
    <w:rsid w:val="00547BA0"/>
    <w:rsid w:val="0055086F"/>
    <w:rsid w:val="00550894"/>
    <w:rsid w:val="00550BBC"/>
    <w:rsid w:val="00550F75"/>
    <w:rsid w:val="005519A3"/>
    <w:rsid w:val="00551BD1"/>
    <w:rsid w:val="00551DE6"/>
    <w:rsid w:val="00551F32"/>
    <w:rsid w:val="005522FF"/>
    <w:rsid w:val="00552748"/>
    <w:rsid w:val="00553923"/>
    <w:rsid w:val="00554D7A"/>
    <w:rsid w:val="00555C32"/>
    <w:rsid w:val="00556A12"/>
    <w:rsid w:val="00557128"/>
    <w:rsid w:val="0055719E"/>
    <w:rsid w:val="00560BED"/>
    <w:rsid w:val="00560C28"/>
    <w:rsid w:val="00561142"/>
    <w:rsid w:val="00561183"/>
    <w:rsid w:val="00564128"/>
    <w:rsid w:val="00564135"/>
    <w:rsid w:val="0056473E"/>
    <w:rsid w:val="00564E8C"/>
    <w:rsid w:val="00565905"/>
    <w:rsid w:val="005668AA"/>
    <w:rsid w:val="0056724C"/>
    <w:rsid w:val="005673EA"/>
    <w:rsid w:val="005675DB"/>
    <w:rsid w:val="00567BA4"/>
    <w:rsid w:val="005715D0"/>
    <w:rsid w:val="005719BB"/>
    <w:rsid w:val="005728C1"/>
    <w:rsid w:val="0057341E"/>
    <w:rsid w:val="005737BD"/>
    <w:rsid w:val="005740B8"/>
    <w:rsid w:val="00574A60"/>
    <w:rsid w:val="00576A6F"/>
    <w:rsid w:val="00576BE3"/>
    <w:rsid w:val="00576D2F"/>
    <w:rsid w:val="005777DA"/>
    <w:rsid w:val="0057798A"/>
    <w:rsid w:val="00577A25"/>
    <w:rsid w:val="00577CE6"/>
    <w:rsid w:val="00577EEA"/>
    <w:rsid w:val="005811AF"/>
    <w:rsid w:val="005815F9"/>
    <w:rsid w:val="00581AA8"/>
    <w:rsid w:val="0058253E"/>
    <w:rsid w:val="00582BB0"/>
    <w:rsid w:val="00582BD8"/>
    <w:rsid w:val="00582F97"/>
    <w:rsid w:val="0058351E"/>
    <w:rsid w:val="00583616"/>
    <w:rsid w:val="00584029"/>
    <w:rsid w:val="0058442C"/>
    <w:rsid w:val="005844E0"/>
    <w:rsid w:val="0058559C"/>
    <w:rsid w:val="00585EB7"/>
    <w:rsid w:val="005876D0"/>
    <w:rsid w:val="00587DD4"/>
    <w:rsid w:val="0059159A"/>
    <w:rsid w:val="00592000"/>
    <w:rsid w:val="0059252B"/>
    <w:rsid w:val="00592AF9"/>
    <w:rsid w:val="00593E4A"/>
    <w:rsid w:val="0059423A"/>
    <w:rsid w:val="00594282"/>
    <w:rsid w:val="0059470C"/>
    <w:rsid w:val="00595012"/>
    <w:rsid w:val="00595A4B"/>
    <w:rsid w:val="00595C34"/>
    <w:rsid w:val="005A02EE"/>
    <w:rsid w:val="005A05B1"/>
    <w:rsid w:val="005A09D4"/>
    <w:rsid w:val="005A0C24"/>
    <w:rsid w:val="005A22C8"/>
    <w:rsid w:val="005A2EE5"/>
    <w:rsid w:val="005A31F7"/>
    <w:rsid w:val="005A37D4"/>
    <w:rsid w:val="005A4293"/>
    <w:rsid w:val="005A42C1"/>
    <w:rsid w:val="005A4415"/>
    <w:rsid w:val="005A45E9"/>
    <w:rsid w:val="005A474A"/>
    <w:rsid w:val="005A47FB"/>
    <w:rsid w:val="005A4C98"/>
    <w:rsid w:val="005A5241"/>
    <w:rsid w:val="005A573F"/>
    <w:rsid w:val="005A59DE"/>
    <w:rsid w:val="005A7025"/>
    <w:rsid w:val="005A7A14"/>
    <w:rsid w:val="005A7D67"/>
    <w:rsid w:val="005B0006"/>
    <w:rsid w:val="005B0D7F"/>
    <w:rsid w:val="005B103D"/>
    <w:rsid w:val="005B1D65"/>
    <w:rsid w:val="005B2D4A"/>
    <w:rsid w:val="005B2FC5"/>
    <w:rsid w:val="005B33F0"/>
    <w:rsid w:val="005B40F4"/>
    <w:rsid w:val="005B48D2"/>
    <w:rsid w:val="005B532A"/>
    <w:rsid w:val="005B565A"/>
    <w:rsid w:val="005B58D4"/>
    <w:rsid w:val="005B5F76"/>
    <w:rsid w:val="005B72E4"/>
    <w:rsid w:val="005B7962"/>
    <w:rsid w:val="005B7D17"/>
    <w:rsid w:val="005B7D5B"/>
    <w:rsid w:val="005C0DA5"/>
    <w:rsid w:val="005C14E1"/>
    <w:rsid w:val="005C259F"/>
    <w:rsid w:val="005C316E"/>
    <w:rsid w:val="005C4C3E"/>
    <w:rsid w:val="005C4EB6"/>
    <w:rsid w:val="005C526F"/>
    <w:rsid w:val="005C5D73"/>
    <w:rsid w:val="005C7604"/>
    <w:rsid w:val="005C770D"/>
    <w:rsid w:val="005C7829"/>
    <w:rsid w:val="005C7C8B"/>
    <w:rsid w:val="005C7EF9"/>
    <w:rsid w:val="005D038E"/>
    <w:rsid w:val="005D097B"/>
    <w:rsid w:val="005D1B2B"/>
    <w:rsid w:val="005D2AE9"/>
    <w:rsid w:val="005D2CEE"/>
    <w:rsid w:val="005D37C5"/>
    <w:rsid w:val="005D4C20"/>
    <w:rsid w:val="005D54C4"/>
    <w:rsid w:val="005D653F"/>
    <w:rsid w:val="005D6EEF"/>
    <w:rsid w:val="005D7823"/>
    <w:rsid w:val="005E0026"/>
    <w:rsid w:val="005E1307"/>
    <w:rsid w:val="005E16D5"/>
    <w:rsid w:val="005E1D69"/>
    <w:rsid w:val="005E2AF1"/>
    <w:rsid w:val="005E2D0C"/>
    <w:rsid w:val="005E3B30"/>
    <w:rsid w:val="005E4657"/>
    <w:rsid w:val="005E4846"/>
    <w:rsid w:val="005E48C1"/>
    <w:rsid w:val="005E610C"/>
    <w:rsid w:val="005E6C0B"/>
    <w:rsid w:val="005E6EF7"/>
    <w:rsid w:val="005E78B6"/>
    <w:rsid w:val="005F0367"/>
    <w:rsid w:val="005F04F1"/>
    <w:rsid w:val="005F0A28"/>
    <w:rsid w:val="005F1827"/>
    <w:rsid w:val="005F2AEB"/>
    <w:rsid w:val="005F3D5B"/>
    <w:rsid w:val="005F5366"/>
    <w:rsid w:val="005F5A87"/>
    <w:rsid w:val="005F5CB4"/>
    <w:rsid w:val="005F66DE"/>
    <w:rsid w:val="005F6D71"/>
    <w:rsid w:val="005F7790"/>
    <w:rsid w:val="005F7D10"/>
    <w:rsid w:val="005F7FE4"/>
    <w:rsid w:val="00600A4A"/>
    <w:rsid w:val="00600A7E"/>
    <w:rsid w:val="00600B30"/>
    <w:rsid w:val="0060298A"/>
    <w:rsid w:val="00604532"/>
    <w:rsid w:val="006046CB"/>
    <w:rsid w:val="00604913"/>
    <w:rsid w:val="00605432"/>
    <w:rsid w:val="00605690"/>
    <w:rsid w:val="00606930"/>
    <w:rsid w:val="00610299"/>
    <w:rsid w:val="00611D5F"/>
    <w:rsid w:val="00612BB9"/>
    <w:rsid w:val="0061305F"/>
    <w:rsid w:val="00613B8B"/>
    <w:rsid w:val="00613EE4"/>
    <w:rsid w:val="0061493B"/>
    <w:rsid w:val="00615488"/>
    <w:rsid w:val="006166CA"/>
    <w:rsid w:val="0061691A"/>
    <w:rsid w:val="00617005"/>
    <w:rsid w:val="006174AA"/>
    <w:rsid w:val="006204A3"/>
    <w:rsid w:val="00620FA4"/>
    <w:rsid w:val="00621AB1"/>
    <w:rsid w:val="00622663"/>
    <w:rsid w:val="006228F4"/>
    <w:rsid w:val="00622C33"/>
    <w:rsid w:val="00623127"/>
    <w:rsid w:val="006236C3"/>
    <w:rsid w:val="006239A2"/>
    <w:rsid w:val="006247B3"/>
    <w:rsid w:val="006255A5"/>
    <w:rsid w:val="00625C42"/>
    <w:rsid w:val="00625FA3"/>
    <w:rsid w:val="006265DF"/>
    <w:rsid w:val="006266E4"/>
    <w:rsid w:val="00626872"/>
    <w:rsid w:val="00627AED"/>
    <w:rsid w:val="00630189"/>
    <w:rsid w:val="00630578"/>
    <w:rsid w:val="0063205A"/>
    <w:rsid w:val="00632817"/>
    <w:rsid w:val="00632B53"/>
    <w:rsid w:val="0063350B"/>
    <w:rsid w:val="00633B5E"/>
    <w:rsid w:val="00633BA3"/>
    <w:rsid w:val="00634D5D"/>
    <w:rsid w:val="00635D70"/>
    <w:rsid w:val="00636196"/>
    <w:rsid w:val="006377F4"/>
    <w:rsid w:val="00637A70"/>
    <w:rsid w:val="00637EF8"/>
    <w:rsid w:val="006402AB"/>
    <w:rsid w:val="006407C8"/>
    <w:rsid w:val="006414DF"/>
    <w:rsid w:val="00642A61"/>
    <w:rsid w:val="00642DFF"/>
    <w:rsid w:val="006437B0"/>
    <w:rsid w:val="00643CF8"/>
    <w:rsid w:val="006450FC"/>
    <w:rsid w:val="0064563C"/>
    <w:rsid w:val="0064577F"/>
    <w:rsid w:val="006462A9"/>
    <w:rsid w:val="006466AB"/>
    <w:rsid w:val="00647107"/>
    <w:rsid w:val="0064783A"/>
    <w:rsid w:val="00650186"/>
    <w:rsid w:val="006505C6"/>
    <w:rsid w:val="00651714"/>
    <w:rsid w:val="00652772"/>
    <w:rsid w:val="00652E5B"/>
    <w:rsid w:val="00653A8A"/>
    <w:rsid w:val="00654116"/>
    <w:rsid w:val="006546BB"/>
    <w:rsid w:val="00655149"/>
    <w:rsid w:val="0065521A"/>
    <w:rsid w:val="00655C22"/>
    <w:rsid w:val="00656E17"/>
    <w:rsid w:val="00660344"/>
    <w:rsid w:val="006614D8"/>
    <w:rsid w:val="00661837"/>
    <w:rsid w:val="0066241A"/>
    <w:rsid w:val="00662742"/>
    <w:rsid w:val="0066314D"/>
    <w:rsid w:val="00663219"/>
    <w:rsid w:val="00663522"/>
    <w:rsid w:val="00663C9A"/>
    <w:rsid w:val="006640C4"/>
    <w:rsid w:val="00665DDF"/>
    <w:rsid w:val="00666496"/>
    <w:rsid w:val="00667232"/>
    <w:rsid w:val="0066744E"/>
    <w:rsid w:val="006707D8"/>
    <w:rsid w:val="00670D41"/>
    <w:rsid w:val="0067169D"/>
    <w:rsid w:val="006717F3"/>
    <w:rsid w:val="00673718"/>
    <w:rsid w:val="00673C54"/>
    <w:rsid w:val="00674248"/>
    <w:rsid w:val="006763FE"/>
    <w:rsid w:val="006770EC"/>
    <w:rsid w:val="00677EC9"/>
    <w:rsid w:val="0068047B"/>
    <w:rsid w:val="00680AEF"/>
    <w:rsid w:val="006810DE"/>
    <w:rsid w:val="00681AA4"/>
    <w:rsid w:val="0068238D"/>
    <w:rsid w:val="00683D31"/>
    <w:rsid w:val="00683EE7"/>
    <w:rsid w:val="00684A14"/>
    <w:rsid w:val="0068515D"/>
    <w:rsid w:val="006861B2"/>
    <w:rsid w:val="00686442"/>
    <w:rsid w:val="00686C86"/>
    <w:rsid w:val="00690A3B"/>
    <w:rsid w:val="006910E2"/>
    <w:rsid w:val="00691EDE"/>
    <w:rsid w:val="0069313F"/>
    <w:rsid w:val="00693C90"/>
    <w:rsid w:val="00693FF1"/>
    <w:rsid w:val="00694BC8"/>
    <w:rsid w:val="00695472"/>
    <w:rsid w:val="00696719"/>
    <w:rsid w:val="0069692B"/>
    <w:rsid w:val="00697211"/>
    <w:rsid w:val="00697933"/>
    <w:rsid w:val="006A025C"/>
    <w:rsid w:val="006A1B20"/>
    <w:rsid w:val="006A1E8F"/>
    <w:rsid w:val="006A212A"/>
    <w:rsid w:val="006A31EC"/>
    <w:rsid w:val="006A3969"/>
    <w:rsid w:val="006A54C4"/>
    <w:rsid w:val="006A5699"/>
    <w:rsid w:val="006A5892"/>
    <w:rsid w:val="006A62D9"/>
    <w:rsid w:val="006A63D6"/>
    <w:rsid w:val="006A6904"/>
    <w:rsid w:val="006A73BF"/>
    <w:rsid w:val="006A74F9"/>
    <w:rsid w:val="006A7AD2"/>
    <w:rsid w:val="006B00D8"/>
    <w:rsid w:val="006B0248"/>
    <w:rsid w:val="006B0BDD"/>
    <w:rsid w:val="006B142F"/>
    <w:rsid w:val="006B174F"/>
    <w:rsid w:val="006B2082"/>
    <w:rsid w:val="006B2618"/>
    <w:rsid w:val="006B2967"/>
    <w:rsid w:val="006B3C27"/>
    <w:rsid w:val="006B3F81"/>
    <w:rsid w:val="006B4CCD"/>
    <w:rsid w:val="006B5019"/>
    <w:rsid w:val="006B61E1"/>
    <w:rsid w:val="006B667C"/>
    <w:rsid w:val="006B6E31"/>
    <w:rsid w:val="006B6E82"/>
    <w:rsid w:val="006B7E86"/>
    <w:rsid w:val="006C0270"/>
    <w:rsid w:val="006C03D6"/>
    <w:rsid w:val="006C1B38"/>
    <w:rsid w:val="006C265A"/>
    <w:rsid w:val="006C3835"/>
    <w:rsid w:val="006C3A7D"/>
    <w:rsid w:val="006C6CD1"/>
    <w:rsid w:val="006C6DD1"/>
    <w:rsid w:val="006C75C9"/>
    <w:rsid w:val="006D0074"/>
    <w:rsid w:val="006D0730"/>
    <w:rsid w:val="006D10BB"/>
    <w:rsid w:val="006D13E7"/>
    <w:rsid w:val="006D1A9E"/>
    <w:rsid w:val="006D1BDC"/>
    <w:rsid w:val="006D20DD"/>
    <w:rsid w:val="006D31F9"/>
    <w:rsid w:val="006D343C"/>
    <w:rsid w:val="006D5297"/>
    <w:rsid w:val="006D6876"/>
    <w:rsid w:val="006D71E5"/>
    <w:rsid w:val="006E1B9D"/>
    <w:rsid w:val="006E20C0"/>
    <w:rsid w:val="006E2809"/>
    <w:rsid w:val="006E39DF"/>
    <w:rsid w:val="006E3A93"/>
    <w:rsid w:val="006E45CF"/>
    <w:rsid w:val="006E514E"/>
    <w:rsid w:val="006E5299"/>
    <w:rsid w:val="006E5513"/>
    <w:rsid w:val="006E6DE6"/>
    <w:rsid w:val="006E6EA3"/>
    <w:rsid w:val="006E7FCB"/>
    <w:rsid w:val="006F0080"/>
    <w:rsid w:val="006F2258"/>
    <w:rsid w:val="006F2770"/>
    <w:rsid w:val="006F2AEF"/>
    <w:rsid w:val="006F2ECF"/>
    <w:rsid w:val="006F3402"/>
    <w:rsid w:val="006F3469"/>
    <w:rsid w:val="006F3550"/>
    <w:rsid w:val="006F3819"/>
    <w:rsid w:val="006F39F4"/>
    <w:rsid w:val="006F3DEE"/>
    <w:rsid w:val="006F48C4"/>
    <w:rsid w:val="006F51EB"/>
    <w:rsid w:val="006F5EE8"/>
    <w:rsid w:val="006F6D02"/>
    <w:rsid w:val="006F6FD5"/>
    <w:rsid w:val="006F7326"/>
    <w:rsid w:val="007004D3"/>
    <w:rsid w:val="00701B7D"/>
    <w:rsid w:val="007025A5"/>
    <w:rsid w:val="00702CEA"/>
    <w:rsid w:val="00703276"/>
    <w:rsid w:val="007032F9"/>
    <w:rsid w:val="007036C7"/>
    <w:rsid w:val="00704096"/>
    <w:rsid w:val="007040C0"/>
    <w:rsid w:val="00704236"/>
    <w:rsid w:val="00705D02"/>
    <w:rsid w:val="00706A28"/>
    <w:rsid w:val="00706C28"/>
    <w:rsid w:val="007070D1"/>
    <w:rsid w:val="00707F9C"/>
    <w:rsid w:val="007100DD"/>
    <w:rsid w:val="007103BB"/>
    <w:rsid w:val="00710964"/>
    <w:rsid w:val="0071196C"/>
    <w:rsid w:val="00713240"/>
    <w:rsid w:val="00713AC3"/>
    <w:rsid w:val="00714659"/>
    <w:rsid w:val="0071492E"/>
    <w:rsid w:val="00715BE8"/>
    <w:rsid w:val="00715D4B"/>
    <w:rsid w:val="00716310"/>
    <w:rsid w:val="0071680C"/>
    <w:rsid w:val="00721196"/>
    <w:rsid w:val="00721C3E"/>
    <w:rsid w:val="00723647"/>
    <w:rsid w:val="007240A8"/>
    <w:rsid w:val="0072484D"/>
    <w:rsid w:val="00724905"/>
    <w:rsid w:val="00725CE7"/>
    <w:rsid w:val="00725F50"/>
    <w:rsid w:val="0072667E"/>
    <w:rsid w:val="0072692A"/>
    <w:rsid w:val="00727999"/>
    <w:rsid w:val="007304CB"/>
    <w:rsid w:val="0073085A"/>
    <w:rsid w:val="007321BD"/>
    <w:rsid w:val="007333F3"/>
    <w:rsid w:val="00733DF6"/>
    <w:rsid w:val="007355BF"/>
    <w:rsid w:val="007355C7"/>
    <w:rsid w:val="007358A6"/>
    <w:rsid w:val="00735B8D"/>
    <w:rsid w:val="00736A93"/>
    <w:rsid w:val="00737072"/>
    <w:rsid w:val="00737610"/>
    <w:rsid w:val="00737720"/>
    <w:rsid w:val="00737B5F"/>
    <w:rsid w:val="0074033C"/>
    <w:rsid w:val="00740720"/>
    <w:rsid w:val="0074084E"/>
    <w:rsid w:val="00740CA9"/>
    <w:rsid w:val="00740E74"/>
    <w:rsid w:val="00741869"/>
    <w:rsid w:val="00742BD1"/>
    <w:rsid w:val="00743D74"/>
    <w:rsid w:val="00743ED7"/>
    <w:rsid w:val="00743FF3"/>
    <w:rsid w:val="007463FA"/>
    <w:rsid w:val="00747428"/>
    <w:rsid w:val="007502C4"/>
    <w:rsid w:val="00750B54"/>
    <w:rsid w:val="007517CB"/>
    <w:rsid w:val="00751FC0"/>
    <w:rsid w:val="007529B4"/>
    <w:rsid w:val="007536E1"/>
    <w:rsid w:val="007540E0"/>
    <w:rsid w:val="00755315"/>
    <w:rsid w:val="0075549E"/>
    <w:rsid w:val="00755618"/>
    <w:rsid w:val="0075640B"/>
    <w:rsid w:val="0075665E"/>
    <w:rsid w:val="00756A90"/>
    <w:rsid w:val="0075760F"/>
    <w:rsid w:val="00757A1B"/>
    <w:rsid w:val="00757BF4"/>
    <w:rsid w:val="00757E97"/>
    <w:rsid w:val="00761002"/>
    <w:rsid w:val="00761752"/>
    <w:rsid w:val="007634FB"/>
    <w:rsid w:val="00763972"/>
    <w:rsid w:val="00763D4E"/>
    <w:rsid w:val="00766255"/>
    <w:rsid w:val="00767A09"/>
    <w:rsid w:val="00770562"/>
    <w:rsid w:val="00770929"/>
    <w:rsid w:val="00770CC6"/>
    <w:rsid w:val="00770FD1"/>
    <w:rsid w:val="00771AB1"/>
    <w:rsid w:val="007722B4"/>
    <w:rsid w:val="00772480"/>
    <w:rsid w:val="007724B5"/>
    <w:rsid w:val="00772D70"/>
    <w:rsid w:val="0077332C"/>
    <w:rsid w:val="00774051"/>
    <w:rsid w:val="0077416A"/>
    <w:rsid w:val="00774871"/>
    <w:rsid w:val="00774C4D"/>
    <w:rsid w:val="0077532B"/>
    <w:rsid w:val="00775665"/>
    <w:rsid w:val="007765B2"/>
    <w:rsid w:val="00776B3A"/>
    <w:rsid w:val="007770A5"/>
    <w:rsid w:val="007774AA"/>
    <w:rsid w:val="007777A4"/>
    <w:rsid w:val="00777AF1"/>
    <w:rsid w:val="00777EB1"/>
    <w:rsid w:val="00777EBB"/>
    <w:rsid w:val="007807E4"/>
    <w:rsid w:val="00780E9D"/>
    <w:rsid w:val="007817E4"/>
    <w:rsid w:val="007820AF"/>
    <w:rsid w:val="007829EB"/>
    <w:rsid w:val="007831B1"/>
    <w:rsid w:val="00783A17"/>
    <w:rsid w:val="00783FAB"/>
    <w:rsid w:val="00784ACB"/>
    <w:rsid w:val="0078598F"/>
    <w:rsid w:val="0078662E"/>
    <w:rsid w:val="00786F9E"/>
    <w:rsid w:val="00787DFE"/>
    <w:rsid w:val="00787E21"/>
    <w:rsid w:val="007913F2"/>
    <w:rsid w:val="00791936"/>
    <w:rsid w:val="00791BE1"/>
    <w:rsid w:val="00791FCF"/>
    <w:rsid w:val="00792ECF"/>
    <w:rsid w:val="00793649"/>
    <w:rsid w:val="00793DCC"/>
    <w:rsid w:val="007946F6"/>
    <w:rsid w:val="00794EC9"/>
    <w:rsid w:val="00796CED"/>
    <w:rsid w:val="007979BA"/>
    <w:rsid w:val="00797A4F"/>
    <w:rsid w:val="00797E8F"/>
    <w:rsid w:val="007A2C69"/>
    <w:rsid w:val="007A4E93"/>
    <w:rsid w:val="007A5606"/>
    <w:rsid w:val="007A56DE"/>
    <w:rsid w:val="007A57BD"/>
    <w:rsid w:val="007A6D6A"/>
    <w:rsid w:val="007A6DE3"/>
    <w:rsid w:val="007A7284"/>
    <w:rsid w:val="007A76C1"/>
    <w:rsid w:val="007A7797"/>
    <w:rsid w:val="007B017C"/>
    <w:rsid w:val="007B094E"/>
    <w:rsid w:val="007B0EF2"/>
    <w:rsid w:val="007B11C0"/>
    <w:rsid w:val="007B1482"/>
    <w:rsid w:val="007B1D33"/>
    <w:rsid w:val="007B1E03"/>
    <w:rsid w:val="007B1F31"/>
    <w:rsid w:val="007B2121"/>
    <w:rsid w:val="007B2150"/>
    <w:rsid w:val="007B26A8"/>
    <w:rsid w:val="007B29AB"/>
    <w:rsid w:val="007B2C99"/>
    <w:rsid w:val="007B3203"/>
    <w:rsid w:val="007B3B5A"/>
    <w:rsid w:val="007B41C8"/>
    <w:rsid w:val="007B4350"/>
    <w:rsid w:val="007B4AAC"/>
    <w:rsid w:val="007B5A64"/>
    <w:rsid w:val="007B7E31"/>
    <w:rsid w:val="007C028D"/>
    <w:rsid w:val="007C049F"/>
    <w:rsid w:val="007C0B95"/>
    <w:rsid w:val="007C140C"/>
    <w:rsid w:val="007C1982"/>
    <w:rsid w:val="007C1AAB"/>
    <w:rsid w:val="007C2765"/>
    <w:rsid w:val="007C31FA"/>
    <w:rsid w:val="007C3FC9"/>
    <w:rsid w:val="007C4959"/>
    <w:rsid w:val="007C4D0F"/>
    <w:rsid w:val="007C68FF"/>
    <w:rsid w:val="007C78FD"/>
    <w:rsid w:val="007C7F2B"/>
    <w:rsid w:val="007D02E1"/>
    <w:rsid w:val="007D13F7"/>
    <w:rsid w:val="007D37DC"/>
    <w:rsid w:val="007D38C3"/>
    <w:rsid w:val="007D3B05"/>
    <w:rsid w:val="007D3FB7"/>
    <w:rsid w:val="007D53A4"/>
    <w:rsid w:val="007D573C"/>
    <w:rsid w:val="007D63A3"/>
    <w:rsid w:val="007D70DC"/>
    <w:rsid w:val="007D7866"/>
    <w:rsid w:val="007E0206"/>
    <w:rsid w:val="007E03D1"/>
    <w:rsid w:val="007E0733"/>
    <w:rsid w:val="007E0975"/>
    <w:rsid w:val="007E10D0"/>
    <w:rsid w:val="007E13DA"/>
    <w:rsid w:val="007E218D"/>
    <w:rsid w:val="007E2C87"/>
    <w:rsid w:val="007E2C9C"/>
    <w:rsid w:val="007E2F66"/>
    <w:rsid w:val="007E32D0"/>
    <w:rsid w:val="007E3604"/>
    <w:rsid w:val="007E405F"/>
    <w:rsid w:val="007E4F48"/>
    <w:rsid w:val="007E58C4"/>
    <w:rsid w:val="007E5B16"/>
    <w:rsid w:val="007E5F75"/>
    <w:rsid w:val="007E6004"/>
    <w:rsid w:val="007E6FD7"/>
    <w:rsid w:val="007E73EB"/>
    <w:rsid w:val="007E77C8"/>
    <w:rsid w:val="007F0552"/>
    <w:rsid w:val="007F11E1"/>
    <w:rsid w:val="007F1620"/>
    <w:rsid w:val="007F1720"/>
    <w:rsid w:val="007F246A"/>
    <w:rsid w:val="007F3F66"/>
    <w:rsid w:val="007F42F9"/>
    <w:rsid w:val="007F4EED"/>
    <w:rsid w:val="007F5261"/>
    <w:rsid w:val="007F60CD"/>
    <w:rsid w:val="007F6D7C"/>
    <w:rsid w:val="007F7CA9"/>
    <w:rsid w:val="008002D2"/>
    <w:rsid w:val="008004F7"/>
    <w:rsid w:val="00800644"/>
    <w:rsid w:val="00800AC7"/>
    <w:rsid w:val="00800EF6"/>
    <w:rsid w:val="00801329"/>
    <w:rsid w:val="008015BE"/>
    <w:rsid w:val="00801734"/>
    <w:rsid w:val="0080292F"/>
    <w:rsid w:val="00803744"/>
    <w:rsid w:val="00803B52"/>
    <w:rsid w:val="00804F8B"/>
    <w:rsid w:val="00804F8C"/>
    <w:rsid w:val="00805D2C"/>
    <w:rsid w:val="00805F1F"/>
    <w:rsid w:val="008067E9"/>
    <w:rsid w:val="0080767A"/>
    <w:rsid w:val="0080773B"/>
    <w:rsid w:val="008105DF"/>
    <w:rsid w:val="00810763"/>
    <w:rsid w:val="008116D7"/>
    <w:rsid w:val="00815067"/>
    <w:rsid w:val="00815337"/>
    <w:rsid w:val="0081534C"/>
    <w:rsid w:val="008156D5"/>
    <w:rsid w:val="008162CA"/>
    <w:rsid w:val="0081707E"/>
    <w:rsid w:val="008173C4"/>
    <w:rsid w:val="008176C8"/>
    <w:rsid w:val="00817FD0"/>
    <w:rsid w:val="00820F4E"/>
    <w:rsid w:val="0082119A"/>
    <w:rsid w:val="00821B7A"/>
    <w:rsid w:val="0082340B"/>
    <w:rsid w:val="00824BEB"/>
    <w:rsid w:val="00824DF8"/>
    <w:rsid w:val="0082556A"/>
    <w:rsid w:val="00826D2E"/>
    <w:rsid w:val="008277A7"/>
    <w:rsid w:val="00827A22"/>
    <w:rsid w:val="008304EB"/>
    <w:rsid w:val="008314C6"/>
    <w:rsid w:val="008325F0"/>
    <w:rsid w:val="00832D5F"/>
    <w:rsid w:val="0083448E"/>
    <w:rsid w:val="00835232"/>
    <w:rsid w:val="008359E1"/>
    <w:rsid w:val="00835DBA"/>
    <w:rsid w:val="0083654F"/>
    <w:rsid w:val="00836BD4"/>
    <w:rsid w:val="00837B4F"/>
    <w:rsid w:val="00840AA9"/>
    <w:rsid w:val="008418A0"/>
    <w:rsid w:val="00842A98"/>
    <w:rsid w:val="0084407F"/>
    <w:rsid w:val="00845144"/>
    <w:rsid w:val="008458EA"/>
    <w:rsid w:val="00846315"/>
    <w:rsid w:val="008517DF"/>
    <w:rsid w:val="00851D61"/>
    <w:rsid w:val="0085334E"/>
    <w:rsid w:val="00854005"/>
    <w:rsid w:val="00854467"/>
    <w:rsid w:val="00854618"/>
    <w:rsid w:val="008561D0"/>
    <w:rsid w:val="00856584"/>
    <w:rsid w:val="00856A3F"/>
    <w:rsid w:val="00857677"/>
    <w:rsid w:val="00857DC7"/>
    <w:rsid w:val="00861305"/>
    <w:rsid w:val="00861A74"/>
    <w:rsid w:val="008620C8"/>
    <w:rsid w:val="0086252A"/>
    <w:rsid w:val="00862811"/>
    <w:rsid w:val="008631B4"/>
    <w:rsid w:val="008639C9"/>
    <w:rsid w:val="00864603"/>
    <w:rsid w:val="008649B3"/>
    <w:rsid w:val="00865081"/>
    <w:rsid w:val="00865D1E"/>
    <w:rsid w:val="00867F57"/>
    <w:rsid w:val="00871981"/>
    <w:rsid w:val="008729B5"/>
    <w:rsid w:val="00875536"/>
    <w:rsid w:val="00875A2A"/>
    <w:rsid w:val="00877D28"/>
    <w:rsid w:val="00880DAB"/>
    <w:rsid w:val="00881581"/>
    <w:rsid w:val="008820D0"/>
    <w:rsid w:val="00882209"/>
    <w:rsid w:val="00882F73"/>
    <w:rsid w:val="008847C7"/>
    <w:rsid w:val="00884B8D"/>
    <w:rsid w:val="00884C04"/>
    <w:rsid w:val="00884DB7"/>
    <w:rsid w:val="0088596E"/>
    <w:rsid w:val="00886329"/>
    <w:rsid w:val="00887775"/>
    <w:rsid w:val="00887C39"/>
    <w:rsid w:val="008906F5"/>
    <w:rsid w:val="00892285"/>
    <w:rsid w:val="00892B00"/>
    <w:rsid w:val="00892DFB"/>
    <w:rsid w:val="0089352B"/>
    <w:rsid w:val="00893544"/>
    <w:rsid w:val="00893AC8"/>
    <w:rsid w:val="008957D7"/>
    <w:rsid w:val="00895ADD"/>
    <w:rsid w:val="008965CF"/>
    <w:rsid w:val="008967A7"/>
    <w:rsid w:val="008973E4"/>
    <w:rsid w:val="008A02C4"/>
    <w:rsid w:val="008A134C"/>
    <w:rsid w:val="008A1522"/>
    <w:rsid w:val="008A1FC7"/>
    <w:rsid w:val="008A284A"/>
    <w:rsid w:val="008A28D4"/>
    <w:rsid w:val="008A32EA"/>
    <w:rsid w:val="008A3893"/>
    <w:rsid w:val="008A4852"/>
    <w:rsid w:val="008A4C73"/>
    <w:rsid w:val="008A5AA3"/>
    <w:rsid w:val="008A63FC"/>
    <w:rsid w:val="008A6DD9"/>
    <w:rsid w:val="008B008C"/>
    <w:rsid w:val="008B0769"/>
    <w:rsid w:val="008B0CA1"/>
    <w:rsid w:val="008B202D"/>
    <w:rsid w:val="008B2596"/>
    <w:rsid w:val="008B2975"/>
    <w:rsid w:val="008B360D"/>
    <w:rsid w:val="008B39AF"/>
    <w:rsid w:val="008B3B4F"/>
    <w:rsid w:val="008B608B"/>
    <w:rsid w:val="008B6654"/>
    <w:rsid w:val="008B7E0D"/>
    <w:rsid w:val="008C02D2"/>
    <w:rsid w:val="008C0350"/>
    <w:rsid w:val="008C0E1E"/>
    <w:rsid w:val="008C2A57"/>
    <w:rsid w:val="008C3B61"/>
    <w:rsid w:val="008C4E08"/>
    <w:rsid w:val="008C5DBB"/>
    <w:rsid w:val="008C73E1"/>
    <w:rsid w:val="008D066B"/>
    <w:rsid w:val="008D1008"/>
    <w:rsid w:val="008D30F6"/>
    <w:rsid w:val="008D31BB"/>
    <w:rsid w:val="008D3A2B"/>
    <w:rsid w:val="008D3C88"/>
    <w:rsid w:val="008D3F76"/>
    <w:rsid w:val="008D471F"/>
    <w:rsid w:val="008D479A"/>
    <w:rsid w:val="008D4BD8"/>
    <w:rsid w:val="008D584C"/>
    <w:rsid w:val="008D6895"/>
    <w:rsid w:val="008D6D23"/>
    <w:rsid w:val="008D6F58"/>
    <w:rsid w:val="008D74D4"/>
    <w:rsid w:val="008E0B98"/>
    <w:rsid w:val="008E3AED"/>
    <w:rsid w:val="008E4A8B"/>
    <w:rsid w:val="008E56F7"/>
    <w:rsid w:val="008E6582"/>
    <w:rsid w:val="008E72E0"/>
    <w:rsid w:val="008E7C72"/>
    <w:rsid w:val="008E7EB2"/>
    <w:rsid w:val="008F05B6"/>
    <w:rsid w:val="008F061D"/>
    <w:rsid w:val="008F1DA8"/>
    <w:rsid w:val="008F2B3F"/>
    <w:rsid w:val="008F3C39"/>
    <w:rsid w:val="008F3F44"/>
    <w:rsid w:val="008F43DC"/>
    <w:rsid w:val="008F478F"/>
    <w:rsid w:val="008F4885"/>
    <w:rsid w:val="008F5211"/>
    <w:rsid w:val="008F55CF"/>
    <w:rsid w:val="008F5BE1"/>
    <w:rsid w:val="008F66BF"/>
    <w:rsid w:val="008F7447"/>
    <w:rsid w:val="008F746B"/>
    <w:rsid w:val="008F7E29"/>
    <w:rsid w:val="00900470"/>
    <w:rsid w:val="0090056B"/>
    <w:rsid w:val="00900AEA"/>
    <w:rsid w:val="00900F75"/>
    <w:rsid w:val="009011D1"/>
    <w:rsid w:val="009031A9"/>
    <w:rsid w:val="009047E8"/>
    <w:rsid w:val="00905209"/>
    <w:rsid w:val="00906BE3"/>
    <w:rsid w:val="00906C63"/>
    <w:rsid w:val="00906CC5"/>
    <w:rsid w:val="00907832"/>
    <w:rsid w:val="00910026"/>
    <w:rsid w:val="009103A7"/>
    <w:rsid w:val="00910EA7"/>
    <w:rsid w:val="009111BE"/>
    <w:rsid w:val="0091123F"/>
    <w:rsid w:val="00911EB5"/>
    <w:rsid w:val="0091260B"/>
    <w:rsid w:val="00912BAA"/>
    <w:rsid w:val="00912E7A"/>
    <w:rsid w:val="009138DE"/>
    <w:rsid w:val="0091640C"/>
    <w:rsid w:val="0091715E"/>
    <w:rsid w:val="00917227"/>
    <w:rsid w:val="0091764E"/>
    <w:rsid w:val="00917837"/>
    <w:rsid w:val="009214B7"/>
    <w:rsid w:val="00921755"/>
    <w:rsid w:val="009221C0"/>
    <w:rsid w:val="0092247B"/>
    <w:rsid w:val="00922E9D"/>
    <w:rsid w:val="009232DF"/>
    <w:rsid w:val="00923C57"/>
    <w:rsid w:val="00923FFC"/>
    <w:rsid w:val="00925458"/>
    <w:rsid w:val="0092601E"/>
    <w:rsid w:val="009271AB"/>
    <w:rsid w:val="00927516"/>
    <w:rsid w:val="00927E1E"/>
    <w:rsid w:val="00931990"/>
    <w:rsid w:val="00931F3D"/>
    <w:rsid w:val="0093317C"/>
    <w:rsid w:val="009336BE"/>
    <w:rsid w:val="009339B1"/>
    <w:rsid w:val="00933E1A"/>
    <w:rsid w:val="009346FB"/>
    <w:rsid w:val="009350FA"/>
    <w:rsid w:val="009352CA"/>
    <w:rsid w:val="009358BD"/>
    <w:rsid w:val="00936B8C"/>
    <w:rsid w:val="00937A49"/>
    <w:rsid w:val="00937E84"/>
    <w:rsid w:val="009401ED"/>
    <w:rsid w:val="00941104"/>
    <w:rsid w:val="009416C2"/>
    <w:rsid w:val="00941D65"/>
    <w:rsid w:val="0094236E"/>
    <w:rsid w:val="0094317E"/>
    <w:rsid w:val="0094361E"/>
    <w:rsid w:val="00944111"/>
    <w:rsid w:val="00944154"/>
    <w:rsid w:val="00945050"/>
    <w:rsid w:val="00946423"/>
    <w:rsid w:val="00946915"/>
    <w:rsid w:val="009474A8"/>
    <w:rsid w:val="00947B1B"/>
    <w:rsid w:val="009500F2"/>
    <w:rsid w:val="00950CE8"/>
    <w:rsid w:val="009514E3"/>
    <w:rsid w:val="009527EC"/>
    <w:rsid w:val="00953817"/>
    <w:rsid w:val="00954C87"/>
    <w:rsid w:val="00954DF5"/>
    <w:rsid w:val="00954F01"/>
    <w:rsid w:val="00955F70"/>
    <w:rsid w:val="009560C2"/>
    <w:rsid w:val="009565FD"/>
    <w:rsid w:val="009571AC"/>
    <w:rsid w:val="00957B81"/>
    <w:rsid w:val="0096035F"/>
    <w:rsid w:val="00961EA0"/>
    <w:rsid w:val="00962E6F"/>
    <w:rsid w:val="00964085"/>
    <w:rsid w:val="00965616"/>
    <w:rsid w:val="00965D36"/>
    <w:rsid w:val="009662CE"/>
    <w:rsid w:val="00966519"/>
    <w:rsid w:val="0096684E"/>
    <w:rsid w:val="00966F58"/>
    <w:rsid w:val="00967259"/>
    <w:rsid w:val="00967440"/>
    <w:rsid w:val="009674EE"/>
    <w:rsid w:val="00970693"/>
    <w:rsid w:val="00970D89"/>
    <w:rsid w:val="009713B1"/>
    <w:rsid w:val="009718B1"/>
    <w:rsid w:val="00972555"/>
    <w:rsid w:val="00973D9D"/>
    <w:rsid w:val="00974C7C"/>
    <w:rsid w:val="0097572D"/>
    <w:rsid w:val="00976325"/>
    <w:rsid w:val="0097742B"/>
    <w:rsid w:val="009800F0"/>
    <w:rsid w:val="00980320"/>
    <w:rsid w:val="00980440"/>
    <w:rsid w:val="00980542"/>
    <w:rsid w:val="0098199C"/>
    <w:rsid w:val="00981D6E"/>
    <w:rsid w:val="00981DF9"/>
    <w:rsid w:val="00983091"/>
    <w:rsid w:val="00983500"/>
    <w:rsid w:val="0098350C"/>
    <w:rsid w:val="009849B9"/>
    <w:rsid w:val="00984A9F"/>
    <w:rsid w:val="00984B66"/>
    <w:rsid w:val="00985577"/>
    <w:rsid w:val="009858AA"/>
    <w:rsid w:val="00985A55"/>
    <w:rsid w:val="00985C1A"/>
    <w:rsid w:val="00985F0B"/>
    <w:rsid w:val="00986980"/>
    <w:rsid w:val="00987A93"/>
    <w:rsid w:val="0099111E"/>
    <w:rsid w:val="009914AB"/>
    <w:rsid w:val="009916D4"/>
    <w:rsid w:val="0099188E"/>
    <w:rsid w:val="00992CAE"/>
    <w:rsid w:val="009935ED"/>
    <w:rsid w:val="009944F0"/>
    <w:rsid w:val="009950D1"/>
    <w:rsid w:val="00995387"/>
    <w:rsid w:val="0099619F"/>
    <w:rsid w:val="009963F9"/>
    <w:rsid w:val="00996B07"/>
    <w:rsid w:val="009A01F8"/>
    <w:rsid w:val="009A0D96"/>
    <w:rsid w:val="009A11CE"/>
    <w:rsid w:val="009A1251"/>
    <w:rsid w:val="009A22F1"/>
    <w:rsid w:val="009A2BDB"/>
    <w:rsid w:val="009A46BA"/>
    <w:rsid w:val="009A4DAE"/>
    <w:rsid w:val="009A4E89"/>
    <w:rsid w:val="009A5BC6"/>
    <w:rsid w:val="009A5DBD"/>
    <w:rsid w:val="009A619E"/>
    <w:rsid w:val="009A6275"/>
    <w:rsid w:val="009A6C3A"/>
    <w:rsid w:val="009A6C84"/>
    <w:rsid w:val="009A71D9"/>
    <w:rsid w:val="009B0B0A"/>
    <w:rsid w:val="009B18A2"/>
    <w:rsid w:val="009B1D33"/>
    <w:rsid w:val="009B20B4"/>
    <w:rsid w:val="009B2BFF"/>
    <w:rsid w:val="009B2CDF"/>
    <w:rsid w:val="009B2EA9"/>
    <w:rsid w:val="009B433F"/>
    <w:rsid w:val="009B4FD4"/>
    <w:rsid w:val="009B5A4E"/>
    <w:rsid w:val="009B5F99"/>
    <w:rsid w:val="009B7535"/>
    <w:rsid w:val="009B7DE6"/>
    <w:rsid w:val="009C0243"/>
    <w:rsid w:val="009C081F"/>
    <w:rsid w:val="009C12CF"/>
    <w:rsid w:val="009C178F"/>
    <w:rsid w:val="009C1A25"/>
    <w:rsid w:val="009C2228"/>
    <w:rsid w:val="009C309C"/>
    <w:rsid w:val="009C3BA8"/>
    <w:rsid w:val="009C4B1E"/>
    <w:rsid w:val="009C5141"/>
    <w:rsid w:val="009C694D"/>
    <w:rsid w:val="009C7F6C"/>
    <w:rsid w:val="009D0202"/>
    <w:rsid w:val="009D0732"/>
    <w:rsid w:val="009D2042"/>
    <w:rsid w:val="009D2458"/>
    <w:rsid w:val="009D25A3"/>
    <w:rsid w:val="009D2F05"/>
    <w:rsid w:val="009D4022"/>
    <w:rsid w:val="009D4289"/>
    <w:rsid w:val="009D4590"/>
    <w:rsid w:val="009D5D6A"/>
    <w:rsid w:val="009D60D5"/>
    <w:rsid w:val="009D6BF4"/>
    <w:rsid w:val="009D74E6"/>
    <w:rsid w:val="009D7774"/>
    <w:rsid w:val="009D7E60"/>
    <w:rsid w:val="009E1582"/>
    <w:rsid w:val="009E1779"/>
    <w:rsid w:val="009E1BE1"/>
    <w:rsid w:val="009E2B08"/>
    <w:rsid w:val="009E2E0A"/>
    <w:rsid w:val="009E3489"/>
    <w:rsid w:val="009E5B7A"/>
    <w:rsid w:val="009E6186"/>
    <w:rsid w:val="009E786F"/>
    <w:rsid w:val="009E7AD7"/>
    <w:rsid w:val="009E7C9F"/>
    <w:rsid w:val="009F0DEF"/>
    <w:rsid w:val="009F132B"/>
    <w:rsid w:val="009F19E5"/>
    <w:rsid w:val="009F1A60"/>
    <w:rsid w:val="009F1A73"/>
    <w:rsid w:val="009F1B2A"/>
    <w:rsid w:val="009F1E59"/>
    <w:rsid w:val="009F3C20"/>
    <w:rsid w:val="009F3C3A"/>
    <w:rsid w:val="009F415A"/>
    <w:rsid w:val="009F42E2"/>
    <w:rsid w:val="009F489A"/>
    <w:rsid w:val="009F4DE3"/>
    <w:rsid w:val="009F4E6E"/>
    <w:rsid w:val="009F6670"/>
    <w:rsid w:val="009F67D4"/>
    <w:rsid w:val="00A002E7"/>
    <w:rsid w:val="00A00ACB"/>
    <w:rsid w:val="00A01441"/>
    <w:rsid w:val="00A0175E"/>
    <w:rsid w:val="00A01E1E"/>
    <w:rsid w:val="00A01EDA"/>
    <w:rsid w:val="00A02C3D"/>
    <w:rsid w:val="00A03044"/>
    <w:rsid w:val="00A0361F"/>
    <w:rsid w:val="00A03639"/>
    <w:rsid w:val="00A05593"/>
    <w:rsid w:val="00A056F6"/>
    <w:rsid w:val="00A058C2"/>
    <w:rsid w:val="00A06725"/>
    <w:rsid w:val="00A06E32"/>
    <w:rsid w:val="00A077BA"/>
    <w:rsid w:val="00A0792D"/>
    <w:rsid w:val="00A07C04"/>
    <w:rsid w:val="00A07F32"/>
    <w:rsid w:val="00A10403"/>
    <w:rsid w:val="00A1105F"/>
    <w:rsid w:val="00A11071"/>
    <w:rsid w:val="00A11ECA"/>
    <w:rsid w:val="00A12596"/>
    <w:rsid w:val="00A1337A"/>
    <w:rsid w:val="00A13F48"/>
    <w:rsid w:val="00A141DD"/>
    <w:rsid w:val="00A147B1"/>
    <w:rsid w:val="00A14C03"/>
    <w:rsid w:val="00A15068"/>
    <w:rsid w:val="00A163EA"/>
    <w:rsid w:val="00A16410"/>
    <w:rsid w:val="00A165B5"/>
    <w:rsid w:val="00A1725E"/>
    <w:rsid w:val="00A20271"/>
    <w:rsid w:val="00A20BE8"/>
    <w:rsid w:val="00A219D9"/>
    <w:rsid w:val="00A21F4B"/>
    <w:rsid w:val="00A226A9"/>
    <w:rsid w:val="00A22853"/>
    <w:rsid w:val="00A23296"/>
    <w:rsid w:val="00A23793"/>
    <w:rsid w:val="00A239BF"/>
    <w:rsid w:val="00A24280"/>
    <w:rsid w:val="00A24619"/>
    <w:rsid w:val="00A24F2B"/>
    <w:rsid w:val="00A25348"/>
    <w:rsid w:val="00A258F1"/>
    <w:rsid w:val="00A25EAD"/>
    <w:rsid w:val="00A261E5"/>
    <w:rsid w:val="00A26273"/>
    <w:rsid w:val="00A267C0"/>
    <w:rsid w:val="00A27172"/>
    <w:rsid w:val="00A2794E"/>
    <w:rsid w:val="00A30746"/>
    <w:rsid w:val="00A30CC5"/>
    <w:rsid w:val="00A30ECC"/>
    <w:rsid w:val="00A326AD"/>
    <w:rsid w:val="00A331F1"/>
    <w:rsid w:val="00A3353D"/>
    <w:rsid w:val="00A340F0"/>
    <w:rsid w:val="00A342D3"/>
    <w:rsid w:val="00A35038"/>
    <w:rsid w:val="00A35DA5"/>
    <w:rsid w:val="00A35E7C"/>
    <w:rsid w:val="00A36CAE"/>
    <w:rsid w:val="00A378BC"/>
    <w:rsid w:val="00A37FA9"/>
    <w:rsid w:val="00A4000C"/>
    <w:rsid w:val="00A40F67"/>
    <w:rsid w:val="00A41698"/>
    <w:rsid w:val="00A41CC7"/>
    <w:rsid w:val="00A428B8"/>
    <w:rsid w:val="00A44550"/>
    <w:rsid w:val="00A44996"/>
    <w:rsid w:val="00A44ABD"/>
    <w:rsid w:val="00A45C16"/>
    <w:rsid w:val="00A4604D"/>
    <w:rsid w:val="00A461DE"/>
    <w:rsid w:val="00A47174"/>
    <w:rsid w:val="00A4799A"/>
    <w:rsid w:val="00A5021E"/>
    <w:rsid w:val="00A5074F"/>
    <w:rsid w:val="00A50828"/>
    <w:rsid w:val="00A52FAA"/>
    <w:rsid w:val="00A534D3"/>
    <w:rsid w:val="00A54F08"/>
    <w:rsid w:val="00A55EBD"/>
    <w:rsid w:val="00A561B0"/>
    <w:rsid w:val="00A56D88"/>
    <w:rsid w:val="00A56F09"/>
    <w:rsid w:val="00A57390"/>
    <w:rsid w:val="00A57A87"/>
    <w:rsid w:val="00A60073"/>
    <w:rsid w:val="00A60220"/>
    <w:rsid w:val="00A61A2A"/>
    <w:rsid w:val="00A625C8"/>
    <w:rsid w:val="00A628D5"/>
    <w:rsid w:val="00A62B4B"/>
    <w:rsid w:val="00A62D65"/>
    <w:rsid w:val="00A62DFF"/>
    <w:rsid w:val="00A64962"/>
    <w:rsid w:val="00A65291"/>
    <w:rsid w:val="00A65720"/>
    <w:rsid w:val="00A659B5"/>
    <w:rsid w:val="00A65B86"/>
    <w:rsid w:val="00A65D05"/>
    <w:rsid w:val="00A66468"/>
    <w:rsid w:val="00A66E0C"/>
    <w:rsid w:val="00A67B9D"/>
    <w:rsid w:val="00A70639"/>
    <w:rsid w:val="00A70BD7"/>
    <w:rsid w:val="00A70E9C"/>
    <w:rsid w:val="00A710FF"/>
    <w:rsid w:val="00A71C3F"/>
    <w:rsid w:val="00A71E99"/>
    <w:rsid w:val="00A72AC8"/>
    <w:rsid w:val="00A74D12"/>
    <w:rsid w:val="00A74E10"/>
    <w:rsid w:val="00A752A0"/>
    <w:rsid w:val="00A75671"/>
    <w:rsid w:val="00A75720"/>
    <w:rsid w:val="00A7599C"/>
    <w:rsid w:val="00A75C5A"/>
    <w:rsid w:val="00A76562"/>
    <w:rsid w:val="00A7749A"/>
    <w:rsid w:val="00A807D5"/>
    <w:rsid w:val="00A81316"/>
    <w:rsid w:val="00A817E2"/>
    <w:rsid w:val="00A81E01"/>
    <w:rsid w:val="00A83137"/>
    <w:rsid w:val="00A83D93"/>
    <w:rsid w:val="00A8491D"/>
    <w:rsid w:val="00A8611B"/>
    <w:rsid w:val="00A863D3"/>
    <w:rsid w:val="00A90443"/>
    <w:rsid w:val="00A90781"/>
    <w:rsid w:val="00A90905"/>
    <w:rsid w:val="00A910F5"/>
    <w:rsid w:val="00A912D0"/>
    <w:rsid w:val="00A916E3"/>
    <w:rsid w:val="00A91E61"/>
    <w:rsid w:val="00A91F47"/>
    <w:rsid w:val="00A91FDB"/>
    <w:rsid w:val="00A923E6"/>
    <w:rsid w:val="00A92BD5"/>
    <w:rsid w:val="00A92D03"/>
    <w:rsid w:val="00A93539"/>
    <w:rsid w:val="00A93C92"/>
    <w:rsid w:val="00A93F11"/>
    <w:rsid w:val="00A951F0"/>
    <w:rsid w:val="00A95B42"/>
    <w:rsid w:val="00A95FE0"/>
    <w:rsid w:val="00A96665"/>
    <w:rsid w:val="00A96D8F"/>
    <w:rsid w:val="00A96E26"/>
    <w:rsid w:val="00A9792E"/>
    <w:rsid w:val="00A97995"/>
    <w:rsid w:val="00A97D4B"/>
    <w:rsid w:val="00A97EB9"/>
    <w:rsid w:val="00AA0302"/>
    <w:rsid w:val="00AA0450"/>
    <w:rsid w:val="00AA1029"/>
    <w:rsid w:val="00AA1D44"/>
    <w:rsid w:val="00AA2095"/>
    <w:rsid w:val="00AA2269"/>
    <w:rsid w:val="00AA23E0"/>
    <w:rsid w:val="00AA26EE"/>
    <w:rsid w:val="00AA32E2"/>
    <w:rsid w:val="00AA3DCC"/>
    <w:rsid w:val="00AA4355"/>
    <w:rsid w:val="00AA4BB5"/>
    <w:rsid w:val="00AA66A5"/>
    <w:rsid w:val="00AA6D57"/>
    <w:rsid w:val="00AA6DB1"/>
    <w:rsid w:val="00AA79C2"/>
    <w:rsid w:val="00AA7E61"/>
    <w:rsid w:val="00AB2AAD"/>
    <w:rsid w:val="00AB37AD"/>
    <w:rsid w:val="00AB3B0D"/>
    <w:rsid w:val="00AB3B9E"/>
    <w:rsid w:val="00AB5E98"/>
    <w:rsid w:val="00AB5F14"/>
    <w:rsid w:val="00AB6830"/>
    <w:rsid w:val="00AB7738"/>
    <w:rsid w:val="00AB775C"/>
    <w:rsid w:val="00AB7F45"/>
    <w:rsid w:val="00AC11C2"/>
    <w:rsid w:val="00AC12A3"/>
    <w:rsid w:val="00AC1AA9"/>
    <w:rsid w:val="00AC3293"/>
    <w:rsid w:val="00AC375B"/>
    <w:rsid w:val="00AC37D4"/>
    <w:rsid w:val="00AC4A77"/>
    <w:rsid w:val="00AC4D7E"/>
    <w:rsid w:val="00AC51E4"/>
    <w:rsid w:val="00AC6039"/>
    <w:rsid w:val="00AC6634"/>
    <w:rsid w:val="00AC6773"/>
    <w:rsid w:val="00AC77E6"/>
    <w:rsid w:val="00AC791A"/>
    <w:rsid w:val="00AC7DAE"/>
    <w:rsid w:val="00AD11DB"/>
    <w:rsid w:val="00AD1724"/>
    <w:rsid w:val="00AD2007"/>
    <w:rsid w:val="00AD3012"/>
    <w:rsid w:val="00AD3732"/>
    <w:rsid w:val="00AD3ED5"/>
    <w:rsid w:val="00AD5875"/>
    <w:rsid w:val="00AD5DDE"/>
    <w:rsid w:val="00AD60F8"/>
    <w:rsid w:val="00AD697B"/>
    <w:rsid w:val="00AD7314"/>
    <w:rsid w:val="00AD7824"/>
    <w:rsid w:val="00AD7CEB"/>
    <w:rsid w:val="00AE294C"/>
    <w:rsid w:val="00AE29C9"/>
    <w:rsid w:val="00AE377C"/>
    <w:rsid w:val="00AE37C9"/>
    <w:rsid w:val="00AE3962"/>
    <w:rsid w:val="00AE443F"/>
    <w:rsid w:val="00AE4952"/>
    <w:rsid w:val="00AE49B9"/>
    <w:rsid w:val="00AE4E86"/>
    <w:rsid w:val="00AE6057"/>
    <w:rsid w:val="00AE68B9"/>
    <w:rsid w:val="00AF0532"/>
    <w:rsid w:val="00AF1E1D"/>
    <w:rsid w:val="00AF2915"/>
    <w:rsid w:val="00AF3434"/>
    <w:rsid w:val="00AF34C2"/>
    <w:rsid w:val="00AF3CFC"/>
    <w:rsid w:val="00AF4BC9"/>
    <w:rsid w:val="00AF4E2F"/>
    <w:rsid w:val="00AF6CE5"/>
    <w:rsid w:val="00AF703F"/>
    <w:rsid w:val="00AF7A5D"/>
    <w:rsid w:val="00B00D2C"/>
    <w:rsid w:val="00B00E93"/>
    <w:rsid w:val="00B01051"/>
    <w:rsid w:val="00B016B6"/>
    <w:rsid w:val="00B0218F"/>
    <w:rsid w:val="00B025F8"/>
    <w:rsid w:val="00B026D8"/>
    <w:rsid w:val="00B0288F"/>
    <w:rsid w:val="00B0479A"/>
    <w:rsid w:val="00B0504F"/>
    <w:rsid w:val="00B05666"/>
    <w:rsid w:val="00B057EA"/>
    <w:rsid w:val="00B06394"/>
    <w:rsid w:val="00B06ECA"/>
    <w:rsid w:val="00B06F29"/>
    <w:rsid w:val="00B07EB9"/>
    <w:rsid w:val="00B1055F"/>
    <w:rsid w:val="00B10C96"/>
    <w:rsid w:val="00B10D49"/>
    <w:rsid w:val="00B112C1"/>
    <w:rsid w:val="00B11A24"/>
    <w:rsid w:val="00B1200E"/>
    <w:rsid w:val="00B129C7"/>
    <w:rsid w:val="00B12C64"/>
    <w:rsid w:val="00B14433"/>
    <w:rsid w:val="00B14C1F"/>
    <w:rsid w:val="00B154E1"/>
    <w:rsid w:val="00B15701"/>
    <w:rsid w:val="00B15A88"/>
    <w:rsid w:val="00B170D4"/>
    <w:rsid w:val="00B1732E"/>
    <w:rsid w:val="00B17571"/>
    <w:rsid w:val="00B176AA"/>
    <w:rsid w:val="00B17A8F"/>
    <w:rsid w:val="00B17C52"/>
    <w:rsid w:val="00B17DB4"/>
    <w:rsid w:val="00B17F2F"/>
    <w:rsid w:val="00B20517"/>
    <w:rsid w:val="00B20683"/>
    <w:rsid w:val="00B21056"/>
    <w:rsid w:val="00B210FA"/>
    <w:rsid w:val="00B21A8C"/>
    <w:rsid w:val="00B22231"/>
    <w:rsid w:val="00B22394"/>
    <w:rsid w:val="00B22646"/>
    <w:rsid w:val="00B2351C"/>
    <w:rsid w:val="00B23AD2"/>
    <w:rsid w:val="00B23DD5"/>
    <w:rsid w:val="00B24DD6"/>
    <w:rsid w:val="00B24F9D"/>
    <w:rsid w:val="00B25132"/>
    <w:rsid w:val="00B25820"/>
    <w:rsid w:val="00B25A03"/>
    <w:rsid w:val="00B25AF2"/>
    <w:rsid w:val="00B270CD"/>
    <w:rsid w:val="00B27555"/>
    <w:rsid w:val="00B27E50"/>
    <w:rsid w:val="00B30017"/>
    <w:rsid w:val="00B3099F"/>
    <w:rsid w:val="00B30A11"/>
    <w:rsid w:val="00B31879"/>
    <w:rsid w:val="00B320BD"/>
    <w:rsid w:val="00B345A7"/>
    <w:rsid w:val="00B35331"/>
    <w:rsid w:val="00B36327"/>
    <w:rsid w:val="00B36D56"/>
    <w:rsid w:val="00B370E3"/>
    <w:rsid w:val="00B37DC7"/>
    <w:rsid w:val="00B37F4B"/>
    <w:rsid w:val="00B401C9"/>
    <w:rsid w:val="00B40A56"/>
    <w:rsid w:val="00B40B85"/>
    <w:rsid w:val="00B42114"/>
    <w:rsid w:val="00B422AD"/>
    <w:rsid w:val="00B42565"/>
    <w:rsid w:val="00B43180"/>
    <w:rsid w:val="00B433E1"/>
    <w:rsid w:val="00B43B13"/>
    <w:rsid w:val="00B43DA8"/>
    <w:rsid w:val="00B44FF3"/>
    <w:rsid w:val="00B45399"/>
    <w:rsid w:val="00B457C5"/>
    <w:rsid w:val="00B458FA"/>
    <w:rsid w:val="00B46F0F"/>
    <w:rsid w:val="00B47899"/>
    <w:rsid w:val="00B47E6D"/>
    <w:rsid w:val="00B50578"/>
    <w:rsid w:val="00B50DFA"/>
    <w:rsid w:val="00B52375"/>
    <w:rsid w:val="00B52E32"/>
    <w:rsid w:val="00B52E60"/>
    <w:rsid w:val="00B531ED"/>
    <w:rsid w:val="00B53D7C"/>
    <w:rsid w:val="00B53F69"/>
    <w:rsid w:val="00B54930"/>
    <w:rsid w:val="00B54E4D"/>
    <w:rsid w:val="00B55794"/>
    <w:rsid w:val="00B55831"/>
    <w:rsid w:val="00B56E5D"/>
    <w:rsid w:val="00B56F4D"/>
    <w:rsid w:val="00B572CA"/>
    <w:rsid w:val="00B574F5"/>
    <w:rsid w:val="00B57AC3"/>
    <w:rsid w:val="00B61255"/>
    <w:rsid w:val="00B6279A"/>
    <w:rsid w:val="00B6435F"/>
    <w:rsid w:val="00B65C70"/>
    <w:rsid w:val="00B665C8"/>
    <w:rsid w:val="00B66689"/>
    <w:rsid w:val="00B66BFD"/>
    <w:rsid w:val="00B6719A"/>
    <w:rsid w:val="00B67219"/>
    <w:rsid w:val="00B67222"/>
    <w:rsid w:val="00B67429"/>
    <w:rsid w:val="00B677CC"/>
    <w:rsid w:val="00B67F09"/>
    <w:rsid w:val="00B7074C"/>
    <w:rsid w:val="00B70BC4"/>
    <w:rsid w:val="00B710E3"/>
    <w:rsid w:val="00B714E6"/>
    <w:rsid w:val="00B71F12"/>
    <w:rsid w:val="00B71F55"/>
    <w:rsid w:val="00B7256F"/>
    <w:rsid w:val="00B7257B"/>
    <w:rsid w:val="00B73713"/>
    <w:rsid w:val="00B73E90"/>
    <w:rsid w:val="00B74548"/>
    <w:rsid w:val="00B75F2C"/>
    <w:rsid w:val="00B75F4C"/>
    <w:rsid w:val="00B75F53"/>
    <w:rsid w:val="00B77C7F"/>
    <w:rsid w:val="00B77D58"/>
    <w:rsid w:val="00B77F5D"/>
    <w:rsid w:val="00B80893"/>
    <w:rsid w:val="00B80B18"/>
    <w:rsid w:val="00B80F08"/>
    <w:rsid w:val="00B8196F"/>
    <w:rsid w:val="00B81B89"/>
    <w:rsid w:val="00B81FB4"/>
    <w:rsid w:val="00B82856"/>
    <w:rsid w:val="00B82A6D"/>
    <w:rsid w:val="00B82C9B"/>
    <w:rsid w:val="00B83628"/>
    <w:rsid w:val="00B8377C"/>
    <w:rsid w:val="00B8417C"/>
    <w:rsid w:val="00B84C18"/>
    <w:rsid w:val="00B863F9"/>
    <w:rsid w:val="00B87037"/>
    <w:rsid w:val="00B87087"/>
    <w:rsid w:val="00B87664"/>
    <w:rsid w:val="00B87EE4"/>
    <w:rsid w:val="00B90447"/>
    <w:rsid w:val="00B90F8A"/>
    <w:rsid w:val="00B91C68"/>
    <w:rsid w:val="00B92761"/>
    <w:rsid w:val="00B92A69"/>
    <w:rsid w:val="00B93184"/>
    <w:rsid w:val="00B9355B"/>
    <w:rsid w:val="00B93CDF"/>
    <w:rsid w:val="00B943D8"/>
    <w:rsid w:val="00B943FC"/>
    <w:rsid w:val="00B946EB"/>
    <w:rsid w:val="00B95638"/>
    <w:rsid w:val="00B95670"/>
    <w:rsid w:val="00B95DC1"/>
    <w:rsid w:val="00B95EDC"/>
    <w:rsid w:val="00B96BAE"/>
    <w:rsid w:val="00BA18F0"/>
    <w:rsid w:val="00BA1E5F"/>
    <w:rsid w:val="00BA1EDD"/>
    <w:rsid w:val="00BA2093"/>
    <w:rsid w:val="00BA3CD7"/>
    <w:rsid w:val="00BA44F4"/>
    <w:rsid w:val="00BA4EF3"/>
    <w:rsid w:val="00BA5B05"/>
    <w:rsid w:val="00BA5EDB"/>
    <w:rsid w:val="00BB14D3"/>
    <w:rsid w:val="00BB1EAB"/>
    <w:rsid w:val="00BB33FF"/>
    <w:rsid w:val="00BB3EFA"/>
    <w:rsid w:val="00BB42A9"/>
    <w:rsid w:val="00BB591B"/>
    <w:rsid w:val="00BB6301"/>
    <w:rsid w:val="00BB7038"/>
    <w:rsid w:val="00BB70F2"/>
    <w:rsid w:val="00BB7299"/>
    <w:rsid w:val="00BC0896"/>
    <w:rsid w:val="00BC0BEA"/>
    <w:rsid w:val="00BC0CD7"/>
    <w:rsid w:val="00BC0D1F"/>
    <w:rsid w:val="00BC174D"/>
    <w:rsid w:val="00BC1D2C"/>
    <w:rsid w:val="00BC1DA3"/>
    <w:rsid w:val="00BC27BA"/>
    <w:rsid w:val="00BC2FA6"/>
    <w:rsid w:val="00BC3290"/>
    <w:rsid w:val="00BC3804"/>
    <w:rsid w:val="00BC4DB5"/>
    <w:rsid w:val="00BC55EC"/>
    <w:rsid w:val="00BC59B7"/>
    <w:rsid w:val="00BC59E2"/>
    <w:rsid w:val="00BC68D9"/>
    <w:rsid w:val="00BD1814"/>
    <w:rsid w:val="00BD1A62"/>
    <w:rsid w:val="00BD1BA8"/>
    <w:rsid w:val="00BD2B04"/>
    <w:rsid w:val="00BD368B"/>
    <w:rsid w:val="00BD3875"/>
    <w:rsid w:val="00BD4A7F"/>
    <w:rsid w:val="00BD4ABB"/>
    <w:rsid w:val="00BD60B5"/>
    <w:rsid w:val="00BD7126"/>
    <w:rsid w:val="00BD7DE4"/>
    <w:rsid w:val="00BE014D"/>
    <w:rsid w:val="00BE0B45"/>
    <w:rsid w:val="00BE1F8C"/>
    <w:rsid w:val="00BE23DA"/>
    <w:rsid w:val="00BE25A5"/>
    <w:rsid w:val="00BE2CFC"/>
    <w:rsid w:val="00BE38CF"/>
    <w:rsid w:val="00BE4F7E"/>
    <w:rsid w:val="00BE5552"/>
    <w:rsid w:val="00BE582D"/>
    <w:rsid w:val="00BE697D"/>
    <w:rsid w:val="00BE76BC"/>
    <w:rsid w:val="00BE78D9"/>
    <w:rsid w:val="00BF019D"/>
    <w:rsid w:val="00BF01D9"/>
    <w:rsid w:val="00BF0620"/>
    <w:rsid w:val="00BF25F8"/>
    <w:rsid w:val="00BF33CD"/>
    <w:rsid w:val="00BF35C0"/>
    <w:rsid w:val="00BF3621"/>
    <w:rsid w:val="00BF3973"/>
    <w:rsid w:val="00BF3F56"/>
    <w:rsid w:val="00BF5A4A"/>
    <w:rsid w:val="00BF5BA7"/>
    <w:rsid w:val="00BF60AE"/>
    <w:rsid w:val="00BF629C"/>
    <w:rsid w:val="00BF641C"/>
    <w:rsid w:val="00BF682D"/>
    <w:rsid w:val="00BF6FA6"/>
    <w:rsid w:val="00BF78C2"/>
    <w:rsid w:val="00C0137D"/>
    <w:rsid w:val="00C02878"/>
    <w:rsid w:val="00C028EB"/>
    <w:rsid w:val="00C03159"/>
    <w:rsid w:val="00C03AC8"/>
    <w:rsid w:val="00C04F80"/>
    <w:rsid w:val="00C05150"/>
    <w:rsid w:val="00C062CA"/>
    <w:rsid w:val="00C06971"/>
    <w:rsid w:val="00C07514"/>
    <w:rsid w:val="00C07656"/>
    <w:rsid w:val="00C077B2"/>
    <w:rsid w:val="00C078E4"/>
    <w:rsid w:val="00C1056F"/>
    <w:rsid w:val="00C11034"/>
    <w:rsid w:val="00C11537"/>
    <w:rsid w:val="00C11982"/>
    <w:rsid w:val="00C12BCD"/>
    <w:rsid w:val="00C139A7"/>
    <w:rsid w:val="00C13B63"/>
    <w:rsid w:val="00C13B73"/>
    <w:rsid w:val="00C14810"/>
    <w:rsid w:val="00C155C9"/>
    <w:rsid w:val="00C15E22"/>
    <w:rsid w:val="00C15ED6"/>
    <w:rsid w:val="00C16621"/>
    <w:rsid w:val="00C174A4"/>
    <w:rsid w:val="00C17610"/>
    <w:rsid w:val="00C17908"/>
    <w:rsid w:val="00C17C82"/>
    <w:rsid w:val="00C20245"/>
    <w:rsid w:val="00C210E7"/>
    <w:rsid w:val="00C2167C"/>
    <w:rsid w:val="00C21B66"/>
    <w:rsid w:val="00C21C8B"/>
    <w:rsid w:val="00C21FB2"/>
    <w:rsid w:val="00C22197"/>
    <w:rsid w:val="00C2298F"/>
    <w:rsid w:val="00C234CE"/>
    <w:rsid w:val="00C24834"/>
    <w:rsid w:val="00C24B2D"/>
    <w:rsid w:val="00C2518C"/>
    <w:rsid w:val="00C2563C"/>
    <w:rsid w:val="00C25732"/>
    <w:rsid w:val="00C26951"/>
    <w:rsid w:val="00C2760D"/>
    <w:rsid w:val="00C276F8"/>
    <w:rsid w:val="00C27769"/>
    <w:rsid w:val="00C310C9"/>
    <w:rsid w:val="00C313FD"/>
    <w:rsid w:val="00C31E19"/>
    <w:rsid w:val="00C31FB6"/>
    <w:rsid w:val="00C32911"/>
    <w:rsid w:val="00C3300C"/>
    <w:rsid w:val="00C33FFA"/>
    <w:rsid w:val="00C34234"/>
    <w:rsid w:val="00C345F1"/>
    <w:rsid w:val="00C34C0E"/>
    <w:rsid w:val="00C34DA7"/>
    <w:rsid w:val="00C35F83"/>
    <w:rsid w:val="00C361A4"/>
    <w:rsid w:val="00C370EA"/>
    <w:rsid w:val="00C3772E"/>
    <w:rsid w:val="00C37A42"/>
    <w:rsid w:val="00C37EF6"/>
    <w:rsid w:val="00C40024"/>
    <w:rsid w:val="00C401BA"/>
    <w:rsid w:val="00C409E2"/>
    <w:rsid w:val="00C4175C"/>
    <w:rsid w:val="00C41BE7"/>
    <w:rsid w:val="00C41FBC"/>
    <w:rsid w:val="00C4254C"/>
    <w:rsid w:val="00C428BE"/>
    <w:rsid w:val="00C4354E"/>
    <w:rsid w:val="00C43983"/>
    <w:rsid w:val="00C43C6F"/>
    <w:rsid w:val="00C44912"/>
    <w:rsid w:val="00C44C8A"/>
    <w:rsid w:val="00C45475"/>
    <w:rsid w:val="00C45602"/>
    <w:rsid w:val="00C45C6A"/>
    <w:rsid w:val="00C46E0F"/>
    <w:rsid w:val="00C47CC7"/>
    <w:rsid w:val="00C47CCA"/>
    <w:rsid w:val="00C515FA"/>
    <w:rsid w:val="00C51BBA"/>
    <w:rsid w:val="00C522D2"/>
    <w:rsid w:val="00C5265E"/>
    <w:rsid w:val="00C5305E"/>
    <w:rsid w:val="00C53080"/>
    <w:rsid w:val="00C558B7"/>
    <w:rsid w:val="00C5596A"/>
    <w:rsid w:val="00C55AA7"/>
    <w:rsid w:val="00C55DC1"/>
    <w:rsid w:val="00C57D4A"/>
    <w:rsid w:val="00C6215A"/>
    <w:rsid w:val="00C642AD"/>
    <w:rsid w:val="00C64396"/>
    <w:rsid w:val="00C64688"/>
    <w:rsid w:val="00C64705"/>
    <w:rsid w:val="00C658C5"/>
    <w:rsid w:val="00C66374"/>
    <w:rsid w:val="00C663B7"/>
    <w:rsid w:val="00C663D6"/>
    <w:rsid w:val="00C666A1"/>
    <w:rsid w:val="00C678A8"/>
    <w:rsid w:val="00C703A4"/>
    <w:rsid w:val="00C72030"/>
    <w:rsid w:val="00C722D2"/>
    <w:rsid w:val="00C72AF5"/>
    <w:rsid w:val="00C731CA"/>
    <w:rsid w:val="00C73B61"/>
    <w:rsid w:val="00C74927"/>
    <w:rsid w:val="00C75227"/>
    <w:rsid w:val="00C752AD"/>
    <w:rsid w:val="00C76CB8"/>
    <w:rsid w:val="00C76F16"/>
    <w:rsid w:val="00C772AA"/>
    <w:rsid w:val="00C77CD2"/>
    <w:rsid w:val="00C806B0"/>
    <w:rsid w:val="00C806BD"/>
    <w:rsid w:val="00C806BF"/>
    <w:rsid w:val="00C80DC9"/>
    <w:rsid w:val="00C8156A"/>
    <w:rsid w:val="00C81800"/>
    <w:rsid w:val="00C82162"/>
    <w:rsid w:val="00C833E8"/>
    <w:rsid w:val="00C85A2C"/>
    <w:rsid w:val="00C85E95"/>
    <w:rsid w:val="00C8680E"/>
    <w:rsid w:val="00C86B87"/>
    <w:rsid w:val="00C87182"/>
    <w:rsid w:val="00C878F0"/>
    <w:rsid w:val="00C87A83"/>
    <w:rsid w:val="00C87BC2"/>
    <w:rsid w:val="00C87E36"/>
    <w:rsid w:val="00C90C00"/>
    <w:rsid w:val="00C915CA"/>
    <w:rsid w:val="00C91668"/>
    <w:rsid w:val="00C91BEB"/>
    <w:rsid w:val="00C9224C"/>
    <w:rsid w:val="00C925D6"/>
    <w:rsid w:val="00C9549C"/>
    <w:rsid w:val="00C95984"/>
    <w:rsid w:val="00C95B21"/>
    <w:rsid w:val="00C96398"/>
    <w:rsid w:val="00C969A7"/>
    <w:rsid w:val="00C96B6E"/>
    <w:rsid w:val="00C9702A"/>
    <w:rsid w:val="00CA0666"/>
    <w:rsid w:val="00CA1AF8"/>
    <w:rsid w:val="00CA31A3"/>
    <w:rsid w:val="00CA3A31"/>
    <w:rsid w:val="00CA423F"/>
    <w:rsid w:val="00CA4727"/>
    <w:rsid w:val="00CA65B6"/>
    <w:rsid w:val="00CA68F0"/>
    <w:rsid w:val="00CA6F84"/>
    <w:rsid w:val="00CB0130"/>
    <w:rsid w:val="00CB0A2C"/>
    <w:rsid w:val="00CB0B54"/>
    <w:rsid w:val="00CB15BA"/>
    <w:rsid w:val="00CB298F"/>
    <w:rsid w:val="00CB2A55"/>
    <w:rsid w:val="00CB2D31"/>
    <w:rsid w:val="00CB2E4D"/>
    <w:rsid w:val="00CB3472"/>
    <w:rsid w:val="00CB413E"/>
    <w:rsid w:val="00CB428E"/>
    <w:rsid w:val="00CB42F5"/>
    <w:rsid w:val="00CB47F0"/>
    <w:rsid w:val="00CB5D1E"/>
    <w:rsid w:val="00CB6215"/>
    <w:rsid w:val="00CB64B4"/>
    <w:rsid w:val="00CB69A2"/>
    <w:rsid w:val="00CB73B9"/>
    <w:rsid w:val="00CB79AE"/>
    <w:rsid w:val="00CB7ACD"/>
    <w:rsid w:val="00CC0922"/>
    <w:rsid w:val="00CC2156"/>
    <w:rsid w:val="00CC2B26"/>
    <w:rsid w:val="00CC305A"/>
    <w:rsid w:val="00CC33B0"/>
    <w:rsid w:val="00CC3C99"/>
    <w:rsid w:val="00CC4089"/>
    <w:rsid w:val="00CC4366"/>
    <w:rsid w:val="00CC53EC"/>
    <w:rsid w:val="00CC71FE"/>
    <w:rsid w:val="00CC7559"/>
    <w:rsid w:val="00CC772E"/>
    <w:rsid w:val="00CC7CCF"/>
    <w:rsid w:val="00CD08C8"/>
    <w:rsid w:val="00CD18A2"/>
    <w:rsid w:val="00CD1D70"/>
    <w:rsid w:val="00CD1EC5"/>
    <w:rsid w:val="00CD242A"/>
    <w:rsid w:val="00CD2891"/>
    <w:rsid w:val="00CD3545"/>
    <w:rsid w:val="00CD3EC7"/>
    <w:rsid w:val="00CD4760"/>
    <w:rsid w:val="00CD4CA5"/>
    <w:rsid w:val="00CD5C3D"/>
    <w:rsid w:val="00CD6C17"/>
    <w:rsid w:val="00CD7B51"/>
    <w:rsid w:val="00CE034D"/>
    <w:rsid w:val="00CE130D"/>
    <w:rsid w:val="00CE2363"/>
    <w:rsid w:val="00CE3614"/>
    <w:rsid w:val="00CE6BAD"/>
    <w:rsid w:val="00CE7A04"/>
    <w:rsid w:val="00CE7F92"/>
    <w:rsid w:val="00CF017C"/>
    <w:rsid w:val="00CF0978"/>
    <w:rsid w:val="00CF0AA1"/>
    <w:rsid w:val="00CF28D9"/>
    <w:rsid w:val="00CF2BE7"/>
    <w:rsid w:val="00CF2CB9"/>
    <w:rsid w:val="00CF3942"/>
    <w:rsid w:val="00CF460B"/>
    <w:rsid w:val="00CF484F"/>
    <w:rsid w:val="00CF4C75"/>
    <w:rsid w:val="00D00F0F"/>
    <w:rsid w:val="00D0133A"/>
    <w:rsid w:val="00D01F71"/>
    <w:rsid w:val="00D01FF0"/>
    <w:rsid w:val="00D029DA"/>
    <w:rsid w:val="00D03608"/>
    <w:rsid w:val="00D0486B"/>
    <w:rsid w:val="00D04F11"/>
    <w:rsid w:val="00D0602B"/>
    <w:rsid w:val="00D071BC"/>
    <w:rsid w:val="00D10502"/>
    <w:rsid w:val="00D1062A"/>
    <w:rsid w:val="00D1165C"/>
    <w:rsid w:val="00D12860"/>
    <w:rsid w:val="00D1330E"/>
    <w:rsid w:val="00D13B3B"/>
    <w:rsid w:val="00D13CE8"/>
    <w:rsid w:val="00D16100"/>
    <w:rsid w:val="00D16E60"/>
    <w:rsid w:val="00D17B78"/>
    <w:rsid w:val="00D17D07"/>
    <w:rsid w:val="00D17D5F"/>
    <w:rsid w:val="00D20689"/>
    <w:rsid w:val="00D223D9"/>
    <w:rsid w:val="00D225BD"/>
    <w:rsid w:val="00D226D2"/>
    <w:rsid w:val="00D22A45"/>
    <w:rsid w:val="00D25216"/>
    <w:rsid w:val="00D26064"/>
    <w:rsid w:val="00D261B0"/>
    <w:rsid w:val="00D263AF"/>
    <w:rsid w:val="00D2671B"/>
    <w:rsid w:val="00D2727C"/>
    <w:rsid w:val="00D27554"/>
    <w:rsid w:val="00D279E5"/>
    <w:rsid w:val="00D31161"/>
    <w:rsid w:val="00D314E8"/>
    <w:rsid w:val="00D314F8"/>
    <w:rsid w:val="00D31B92"/>
    <w:rsid w:val="00D31F75"/>
    <w:rsid w:val="00D3234E"/>
    <w:rsid w:val="00D326D4"/>
    <w:rsid w:val="00D329F8"/>
    <w:rsid w:val="00D32C13"/>
    <w:rsid w:val="00D32C4E"/>
    <w:rsid w:val="00D330DE"/>
    <w:rsid w:val="00D33696"/>
    <w:rsid w:val="00D33858"/>
    <w:rsid w:val="00D34601"/>
    <w:rsid w:val="00D34D1E"/>
    <w:rsid w:val="00D35BE9"/>
    <w:rsid w:val="00D360B2"/>
    <w:rsid w:val="00D3636E"/>
    <w:rsid w:val="00D363E1"/>
    <w:rsid w:val="00D36DE3"/>
    <w:rsid w:val="00D36EC1"/>
    <w:rsid w:val="00D40F40"/>
    <w:rsid w:val="00D41240"/>
    <w:rsid w:val="00D415A3"/>
    <w:rsid w:val="00D41F72"/>
    <w:rsid w:val="00D42107"/>
    <w:rsid w:val="00D43384"/>
    <w:rsid w:val="00D43CB2"/>
    <w:rsid w:val="00D44909"/>
    <w:rsid w:val="00D4722A"/>
    <w:rsid w:val="00D47441"/>
    <w:rsid w:val="00D4753F"/>
    <w:rsid w:val="00D50877"/>
    <w:rsid w:val="00D51AEC"/>
    <w:rsid w:val="00D51C6E"/>
    <w:rsid w:val="00D5295A"/>
    <w:rsid w:val="00D52F22"/>
    <w:rsid w:val="00D5369D"/>
    <w:rsid w:val="00D54B39"/>
    <w:rsid w:val="00D55300"/>
    <w:rsid w:val="00D554AB"/>
    <w:rsid w:val="00D5578C"/>
    <w:rsid w:val="00D565D3"/>
    <w:rsid w:val="00D56C0C"/>
    <w:rsid w:val="00D57C05"/>
    <w:rsid w:val="00D601F0"/>
    <w:rsid w:val="00D60CE9"/>
    <w:rsid w:val="00D60F30"/>
    <w:rsid w:val="00D639E3"/>
    <w:rsid w:val="00D65037"/>
    <w:rsid w:val="00D65206"/>
    <w:rsid w:val="00D65E43"/>
    <w:rsid w:val="00D66004"/>
    <w:rsid w:val="00D66FCA"/>
    <w:rsid w:val="00D67075"/>
    <w:rsid w:val="00D679CB"/>
    <w:rsid w:val="00D70EBD"/>
    <w:rsid w:val="00D72C68"/>
    <w:rsid w:val="00D72DA9"/>
    <w:rsid w:val="00D7358B"/>
    <w:rsid w:val="00D73EB7"/>
    <w:rsid w:val="00D7757A"/>
    <w:rsid w:val="00D801FD"/>
    <w:rsid w:val="00D813B5"/>
    <w:rsid w:val="00D815A4"/>
    <w:rsid w:val="00D82CEB"/>
    <w:rsid w:val="00D83941"/>
    <w:rsid w:val="00D83A86"/>
    <w:rsid w:val="00D8436F"/>
    <w:rsid w:val="00D8448A"/>
    <w:rsid w:val="00D85D96"/>
    <w:rsid w:val="00D86758"/>
    <w:rsid w:val="00D86E5E"/>
    <w:rsid w:val="00D875AC"/>
    <w:rsid w:val="00D87BC6"/>
    <w:rsid w:val="00D9298E"/>
    <w:rsid w:val="00D92DE3"/>
    <w:rsid w:val="00D93A1C"/>
    <w:rsid w:val="00D93C74"/>
    <w:rsid w:val="00D942DB"/>
    <w:rsid w:val="00D947D6"/>
    <w:rsid w:val="00D94BA8"/>
    <w:rsid w:val="00D9540A"/>
    <w:rsid w:val="00D9586F"/>
    <w:rsid w:val="00D964D8"/>
    <w:rsid w:val="00D96865"/>
    <w:rsid w:val="00D96BD1"/>
    <w:rsid w:val="00D97A20"/>
    <w:rsid w:val="00DA2D61"/>
    <w:rsid w:val="00DA416A"/>
    <w:rsid w:val="00DA55B9"/>
    <w:rsid w:val="00DA61ED"/>
    <w:rsid w:val="00DA65C4"/>
    <w:rsid w:val="00DA681F"/>
    <w:rsid w:val="00DB0AA6"/>
    <w:rsid w:val="00DB0F0F"/>
    <w:rsid w:val="00DB12A2"/>
    <w:rsid w:val="00DB1B82"/>
    <w:rsid w:val="00DB1F2E"/>
    <w:rsid w:val="00DB2356"/>
    <w:rsid w:val="00DB27F5"/>
    <w:rsid w:val="00DB3F2B"/>
    <w:rsid w:val="00DB449C"/>
    <w:rsid w:val="00DB49AC"/>
    <w:rsid w:val="00DB6C49"/>
    <w:rsid w:val="00DB6E4A"/>
    <w:rsid w:val="00DB7373"/>
    <w:rsid w:val="00DC1880"/>
    <w:rsid w:val="00DC18AE"/>
    <w:rsid w:val="00DC1A45"/>
    <w:rsid w:val="00DC20D1"/>
    <w:rsid w:val="00DC2247"/>
    <w:rsid w:val="00DC228E"/>
    <w:rsid w:val="00DC26E1"/>
    <w:rsid w:val="00DC2C9F"/>
    <w:rsid w:val="00DC3AED"/>
    <w:rsid w:val="00DC3FFA"/>
    <w:rsid w:val="00DC41E5"/>
    <w:rsid w:val="00DC46F2"/>
    <w:rsid w:val="00DC607C"/>
    <w:rsid w:val="00DC6803"/>
    <w:rsid w:val="00DC6E61"/>
    <w:rsid w:val="00DC6EE5"/>
    <w:rsid w:val="00DC7185"/>
    <w:rsid w:val="00DC7778"/>
    <w:rsid w:val="00DC7E20"/>
    <w:rsid w:val="00DD0D1C"/>
    <w:rsid w:val="00DD0DDD"/>
    <w:rsid w:val="00DD15DF"/>
    <w:rsid w:val="00DD197E"/>
    <w:rsid w:val="00DD19E3"/>
    <w:rsid w:val="00DD1D82"/>
    <w:rsid w:val="00DD2BE2"/>
    <w:rsid w:val="00DD2E05"/>
    <w:rsid w:val="00DD3A9E"/>
    <w:rsid w:val="00DD4834"/>
    <w:rsid w:val="00DD4F50"/>
    <w:rsid w:val="00DD5B00"/>
    <w:rsid w:val="00DD752A"/>
    <w:rsid w:val="00DD75FB"/>
    <w:rsid w:val="00DD7BEA"/>
    <w:rsid w:val="00DD7C96"/>
    <w:rsid w:val="00DE0825"/>
    <w:rsid w:val="00DE18D8"/>
    <w:rsid w:val="00DE414E"/>
    <w:rsid w:val="00DE4E4C"/>
    <w:rsid w:val="00DE4F02"/>
    <w:rsid w:val="00DF0782"/>
    <w:rsid w:val="00DF0984"/>
    <w:rsid w:val="00DF2829"/>
    <w:rsid w:val="00DF39E3"/>
    <w:rsid w:val="00DF3BFE"/>
    <w:rsid w:val="00DF4BB6"/>
    <w:rsid w:val="00DF65CD"/>
    <w:rsid w:val="00DF6A66"/>
    <w:rsid w:val="00DF6D80"/>
    <w:rsid w:val="00DF6D9F"/>
    <w:rsid w:val="00DF7068"/>
    <w:rsid w:val="00DF7C21"/>
    <w:rsid w:val="00E001D6"/>
    <w:rsid w:val="00E003D9"/>
    <w:rsid w:val="00E0091F"/>
    <w:rsid w:val="00E0133C"/>
    <w:rsid w:val="00E02043"/>
    <w:rsid w:val="00E02407"/>
    <w:rsid w:val="00E029E6"/>
    <w:rsid w:val="00E036A6"/>
    <w:rsid w:val="00E047C1"/>
    <w:rsid w:val="00E04B80"/>
    <w:rsid w:val="00E05129"/>
    <w:rsid w:val="00E05201"/>
    <w:rsid w:val="00E054D5"/>
    <w:rsid w:val="00E0576D"/>
    <w:rsid w:val="00E05A12"/>
    <w:rsid w:val="00E06107"/>
    <w:rsid w:val="00E07EEA"/>
    <w:rsid w:val="00E10538"/>
    <w:rsid w:val="00E11944"/>
    <w:rsid w:val="00E11E08"/>
    <w:rsid w:val="00E11EEE"/>
    <w:rsid w:val="00E12A75"/>
    <w:rsid w:val="00E12D79"/>
    <w:rsid w:val="00E12FA2"/>
    <w:rsid w:val="00E135EB"/>
    <w:rsid w:val="00E1380E"/>
    <w:rsid w:val="00E152BE"/>
    <w:rsid w:val="00E15595"/>
    <w:rsid w:val="00E16CB3"/>
    <w:rsid w:val="00E17715"/>
    <w:rsid w:val="00E2024B"/>
    <w:rsid w:val="00E204AB"/>
    <w:rsid w:val="00E21484"/>
    <w:rsid w:val="00E22543"/>
    <w:rsid w:val="00E2294B"/>
    <w:rsid w:val="00E230DB"/>
    <w:rsid w:val="00E2312A"/>
    <w:rsid w:val="00E2379A"/>
    <w:rsid w:val="00E23CA5"/>
    <w:rsid w:val="00E24E0A"/>
    <w:rsid w:val="00E25005"/>
    <w:rsid w:val="00E253B6"/>
    <w:rsid w:val="00E265A7"/>
    <w:rsid w:val="00E265BB"/>
    <w:rsid w:val="00E268B0"/>
    <w:rsid w:val="00E30580"/>
    <w:rsid w:val="00E30620"/>
    <w:rsid w:val="00E3078E"/>
    <w:rsid w:val="00E3187C"/>
    <w:rsid w:val="00E31CDD"/>
    <w:rsid w:val="00E31FCB"/>
    <w:rsid w:val="00E32550"/>
    <w:rsid w:val="00E33A15"/>
    <w:rsid w:val="00E33A71"/>
    <w:rsid w:val="00E33D7D"/>
    <w:rsid w:val="00E34498"/>
    <w:rsid w:val="00E34587"/>
    <w:rsid w:val="00E34A30"/>
    <w:rsid w:val="00E35314"/>
    <w:rsid w:val="00E35446"/>
    <w:rsid w:val="00E354F6"/>
    <w:rsid w:val="00E35690"/>
    <w:rsid w:val="00E36A20"/>
    <w:rsid w:val="00E3781E"/>
    <w:rsid w:val="00E37C14"/>
    <w:rsid w:val="00E41F9D"/>
    <w:rsid w:val="00E43E99"/>
    <w:rsid w:val="00E444DC"/>
    <w:rsid w:val="00E446F7"/>
    <w:rsid w:val="00E44DEA"/>
    <w:rsid w:val="00E45783"/>
    <w:rsid w:val="00E45BFE"/>
    <w:rsid w:val="00E45E6F"/>
    <w:rsid w:val="00E5083D"/>
    <w:rsid w:val="00E50864"/>
    <w:rsid w:val="00E50C63"/>
    <w:rsid w:val="00E52E52"/>
    <w:rsid w:val="00E536DC"/>
    <w:rsid w:val="00E552BC"/>
    <w:rsid w:val="00E55A87"/>
    <w:rsid w:val="00E55DC6"/>
    <w:rsid w:val="00E564E5"/>
    <w:rsid w:val="00E5697B"/>
    <w:rsid w:val="00E57051"/>
    <w:rsid w:val="00E57871"/>
    <w:rsid w:val="00E615DD"/>
    <w:rsid w:val="00E61862"/>
    <w:rsid w:val="00E61FE1"/>
    <w:rsid w:val="00E6271C"/>
    <w:rsid w:val="00E64333"/>
    <w:rsid w:val="00E64E52"/>
    <w:rsid w:val="00E6635A"/>
    <w:rsid w:val="00E66D79"/>
    <w:rsid w:val="00E67168"/>
    <w:rsid w:val="00E6746A"/>
    <w:rsid w:val="00E70583"/>
    <w:rsid w:val="00E7132B"/>
    <w:rsid w:val="00E71B3B"/>
    <w:rsid w:val="00E72056"/>
    <w:rsid w:val="00E729F5"/>
    <w:rsid w:val="00E7348A"/>
    <w:rsid w:val="00E73FE2"/>
    <w:rsid w:val="00E7642A"/>
    <w:rsid w:val="00E76456"/>
    <w:rsid w:val="00E765E3"/>
    <w:rsid w:val="00E76B39"/>
    <w:rsid w:val="00E81574"/>
    <w:rsid w:val="00E8254F"/>
    <w:rsid w:val="00E825A1"/>
    <w:rsid w:val="00E82743"/>
    <w:rsid w:val="00E82A3D"/>
    <w:rsid w:val="00E83A93"/>
    <w:rsid w:val="00E84C00"/>
    <w:rsid w:val="00E84CE2"/>
    <w:rsid w:val="00E85696"/>
    <w:rsid w:val="00E85E21"/>
    <w:rsid w:val="00E85FBA"/>
    <w:rsid w:val="00E870B4"/>
    <w:rsid w:val="00E87294"/>
    <w:rsid w:val="00E87975"/>
    <w:rsid w:val="00E90916"/>
    <w:rsid w:val="00E90D66"/>
    <w:rsid w:val="00E91F47"/>
    <w:rsid w:val="00E92E89"/>
    <w:rsid w:val="00E93829"/>
    <w:rsid w:val="00E93CD8"/>
    <w:rsid w:val="00E96ACA"/>
    <w:rsid w:val="00E975AF"/>
    <w:rsid w:val="00E97671"/>
    <w:rsid w:val="00EA008A"/>
    <w:rsid w:val="00EA07EC"/>
    <w:rsid w:val="00EA0D46"/>
    <w:rsid w:val="00EA201A"/>
    <w:rsid w:val="00EA20EA"/>
    <w:rsid w:val="00EA275E"/>
    <w:rsid w:val="00EA2C9D"/>
    <w:rsid w:val="00EA45B8"/>
    <w:rsid w:val="00EA4B54"/>
    <w:rsid w:val="00EA5721"/>
    <w:rsid w:val="00EA5925"/>
    <w:rsid w:val="00EA686B"/>
    <w:rsid w:val="00EA6CFA"/>
    <w:rsid w:val="00EA75C2"/>
    <w:rsid w:val="00EA774B"/>
    <w:rsid w:val="00EA7923"/>
    <w:rsid w:val="00EB11CB"/>
    <w:rsid w:val="00EB15A7"/>
    <w:rsid w:val="00EB173D"/>
    <w:rsid w:val="00EB1D1C"/>
    <w:rsid w:val="00EB260C"/>
    <w:rsid w:val="00EB2BE0"/>
    <w:rsid w:val="00EB2F34"/>
    <w:rsid w:val="00EB3199"/>
    <w:rsid w:val="00EB34C8"/>
    <w:rsid w:val="00EB388C"/>
    <w:rsid w:val="00EB422E"/>
    <w:rsid w:val="00EB475F"/>
    <w:rsid w:val="00EB4B02"/>
    <w:rsid w:val="00EB546D"/>
    <w:rsid w:val="00EB582D"/>
    <w:rsid w:val="00EB5843"/>
    <w:rsid w:val="00EB7320"/>
    <w:rsid w:val="00EB7909"/>
    <w:rsid w:val="00EB7C3A"/>
    <w:rsid w:val="00EC09C8"/>
    <w:rsid w:val="00EC0AB1"/>
    <w:rsid w:val="00EC0BDA"/>
    <w:rsid w:val="00EC1323"/>
    <w:rsid w:val="00EC1498"/>
    <w:rsid w:val="00EC160E"/>
    <w:rsid w:val="00EC190A"/>
    <w:rsid w:val="00EC1E85"/>
    <w:rsid w:val="00EC24B2"/>
    <w:rsid w:val="00EC3C95"/>
    <w:rsid w:val="00EC40D6"/>
    <w:rsid w:val="00EC49ED"/>
    <w:rsid w:val="00EC4D27"/>
    <w:rsid w:val="00EC52BD"/>
    <w:rsid w:val="00EC5474"/>
    <w:rsid w:val="00EC54EC"/>
    <w:rsid w:val="00EC7630"/>
    <w:rsid w:val="00EC7DE6"/>
    <w:rsid w:val="00ED1121"/>
    <w:rsid w:val="00ED1E5D"/>
    <w:rsid w:val="00ED23F7"/>
    <w:rsid w:val="00ED2757"/>
    <w:rsid w:val="00ED2A0F"/>
    <w:rsid w:val="00ED2D95"/>
    <w:rsid w:val="00ED302B"/>
    <w:rsid w:val="00ED3677"/>
    <w:rsid w:val="00ED4BE7"/>
    <w:rsid w:val="00ED4F8E"/>
    <w:rsid w:val="00ED58C0"/>
    <w:rsid w:val="00ED5DD2"/>
    <w:rsid w:val="00ED6269"/>
    <w:rsid w:val="00ED6829"/>
    <w:rsid w:val="00ED77D4"/>
    <w:rsid w:val="00EE05DD"/>
    <w:rsid w:val="00EE066C"/>
    <w:rsid w:val="00EE13EE"/>
    <w:rsid w:val="00EE2568"/>
    <w:rsid w:val="00EE2659"/>
    <w:rsid w:val="00EE27F5"/>
    <w:rsid w:val="00EE2846"/>
    <w:rsid w:val="00EE301A"/>
    <w:rsid w:val="00EE34D3"/>
    <w:rsid w:val="00EE4E52"/>
    <w:rsid w:val="00EE5405"/>
    <w:rsid w:val="00EE5482"/>
    <w:rsid w:val="00EE553E"/>
    <w:rsid w:val="00EE5E3C"/>
    <w:rsid w:val="00EE6B71"/>
    <w:rsid w:val="00EF044A"/>
    <w:rsid w:val="00EF129D"/>
    <w:rsid w:val="00EF14B6"/>
    <w:rsid w:val="00EF1952"/>
    <w:rsid w:val="00EF1DF7"/>
    <w:rsid w:val="00EF415E"/>
    <w:rsid w:val="00EF431C"/>
    <w:rsid w:val="00EF43D0"/>
    <w:rsid w:val="00EF46C8"/>
    <w:rsid w:val="00EF4889"/>
    <w:rsid w:val="00EF6F26"/>
    <w:rsid w:val="00EF70ED"/>
    <w:rsid w:val="00EF7375"/>
    <w:rsid w:val="00F000A2"/>
    <w:rsid w:val="00F003FB"/>
    <w:rsid w:val="00F01BBA"/>
    <w:rsid w:val="00F024F8"/>
    <w:rsid w:val="00F0250C"/>
    <w:rsid w:val="00F03464"/>
    <w:rsid w:val="00F03729"/>
    <w:rsid w:val="00F048DE"/>
    <w:rsid w:val="00F04956"/>
    <w:rsid w:val="00F05B7A"/>
    <w:rsid w:val="00F069EC"/>
    <w:rsid w:val="00F074B4"/>
    <w:rsid w:val="00F07BB1"/>
    <w:rsid w:val="00F10729"/>
    <w:rsid w:val="00F1110A"/>
    <w:rsid w:val="00F11332"/>
    <w:rsid w:val="00F116C2"/>
    <w:rsid w:val="00F12858"/>
    <w:rsid w:val="00F13532"/>
    <w:rsid w:val="00F14402"/>
    <w:rsid w:val="00F14730"/>
    <w:rsid w:val="00F14A5D"/>
    <w:rsid w:val="00F14B66"/>
    <w:rsid w:val="00F14DBE"/>
    <w:rsid w:val="00F15188"/>
    <w:rsid w:val="00F1551B"/>
    <w:rsid w:val="00F15C09"/>
    <w:rsid w:val="00F16616"/>
    <w:rsid w:val="00F17F56"/>
    <w:rsid w:val="00F20097"/>
    <w:rsid w:val="00F200FD"/>
    <w:rsid w:val="00F2013C"/>
    <w:rsid w:val="00F209FE"/>
    <w:rsid w:val="00F20ADD"/>
    <w:rsid w:val="00F20CAC"/>
    <w:rsid w:val="00F21397"/>
    <w:rsid w:val="00F2174F"/>
    <w:rsid w:val="00F21CBB"/>
    <w:rsid w:val="00F21D31"/>
    <w:rsid w:val="00F21DCC"/>
    <w:rsid w:val="00F220C1"/>
    <w:rsid w:val="00F223AB"/>
    <w:rsid w:val="00F22EAC"/>
    <w:rsid w:val="00F23426"/>
    <w:rsid w:val="00F237ED"/>
    <w:rsid w:val="00F239FC"/>
    <w:rsid w:val="00F23C11"/>
    <w:rsid w:val="00F24CF7"/>
    <w:rsid w:val="00F24DA9"/>
    <w:rsid w:val="00F2581C"/>
    <w:rsid w:val="00F25B54"/>
    <w:rsid w:val="00F25F7F"/>
    <w:rsid w:val="00F26507"/>
    <w:rsid w:val="00F27D96"/>
    <w:rsid w:val="00F31668"/>
    <w:rsid w:val="00F3205E"/>
    <w:rsid w:val="00F32471"/>
    <w:rsid w:val="00F32960"/>
    <w:rsid w:val="00F33AEE"/>
    <w:rsid w:val="00F34F0E"/>
    <w:rsid w:val="00F358F3"/>
    <w:rsid w:val="00F37B65"/>
    <w:rsid w:val="00F41526"/>
    <w:rsid w:val="00F42330"/>
    <w:rsid w:val="00F42B02"/>
    <w:rsid w:val="00F43677"/>
    <w:rsid w:val="00F44639"/>
    <w:rsid w:val="00F448A9"/>
    <w:rsid w:val="00F45562"/>
    <w:rsid w:val="00F46707"/>
    <w:rsid w:val="00F4745F"/>
    <w:rsid w:val="00F47CF5"/>
    <w:rsid w:val="00F50EC0"/>
    <w:rsid w:val="00F511E2"/>
    <w:rsid w:val="00F51420"/>
    <w:rsid w:val="00F52128"/>
    <w:rsid w:val="00F53D51"/>
    <w:rsid w:val="00F53E9A"/>
    <w:rsid w:val="00F53F8A"/>
    <w:rsid w:val="00F54278"/>
    <w:rsid w:val="00F543E4"/>
    <w:rsid w:val="00F54727"/>
    <w:rsid w:val="00F54BDD"/>
    <w:rsid w:val="00F55B58"/>
    <w:rsid w:val="00F56670"/>
    <w:rsid w:val="00F5684C"/>
    <w:rsid w:val="00F56AB8"/>
    <w:rsid w:val="00F57212"/>
    <w:rsid w:val="00F57348"/>
    <w:rsid w:val="00F574FD"/>
    <w:rsid w:val="00F5799A"/>
    <w:rsid w:val="00F60D93"/>
    <w:rsid w:val="00F61E0E"/>
    <w:rsid w:val="00F6282B"/>
    <w:rsid w:val="00F63387"/>
    <w:rsid w:val="00F635E6"/>
    <w:rsid w:val="00F642A8"/>
    <w:rsid w:val="00F64C78"/>
    <w:rsid w:val="00F65305"/>
    <w:rsid w:val="00F65319"/>
    <w:rsid w:val="00F6569C"/>
    <w:rsid w:val="00F67992"/>
    <w:rsid w:val="00F71906"/>
    <w:rsid w:val="00F723A4"/>
    <w:rsid w:val="00F723BD"/>
    <w:rsid w:val="00F73C82"/>
    <w:rsid w:val="00F75639"/>
    <w:rsid w:val="00F76C9F"/>
    <w:rsid w:val="00F77AA4"/>
    <w:rsid w:val="00F80C1B"/>
    <w:rsid w:val="00F81385"/>
    <w:rsid w:val="00F81F77"/>
    <w:rsid w:val="00F83F35"/>
    <w:rsid w:val="00F8480B"/>
    <w:rsid w:val="00F84955"/>
    <w:rsid w:val="00F849D8"/>
    <w:rsid w:val="00F84C68"/>
    <w:rsid w:val="00F84EED"/>
    <w:rsid w:val="00F868FF"/>
    <w:rsid w:val="00F87ECE"/>
    <w:rsid w:val="00F9037D"/>
    <w:rsid w:val="00F90CF3"/>
    <w:rsid w:val="00F90F4D"/>
    <w:rsid w:val="00F91777"/>
    <w:rsid w:val="00F92191"/>
    <w:rsid w:val="00F925CE"/>
    <w:rsid w:val="00F928DE"/>
    <w:rsid w:val="00F92D2E"/>
    <w:rsid w:val="00F94BAC"/>
    <w:rsid w:val="00F94E44"/>
    <w:rsid w:val="00F95BB0"/>
    <w:rsid w:val="00F95DB1"/>
    <w:rsid w:val="00F9630A"/>
    <w:rsid w:val="00FA0857"/>
    <w:rsid w:val="00FA15E2"/>
    <w:rsid w:val="00FA1C66"/>
    <w:rsid w:val="00FA236D"/>
    <w:rsid w:val="00FA248E"/>
    <w:rsid w:val="00FA26AE"/>
    <w:rsid w:val="00FA2DFD"/>
    <w:rsid w:val="00FA2E17"/>
    <w:rsid w:val="00FA391E"/>
    <w:rsid w:val="00FA3944"/>
    <w:rsid w:val="00FA3C1E"/>
    <w:rsid w:val="00FA4474"/>
    <w:rsid w:val="00FA60EB"/>
    <w:rsid w:val="00FA688C"/>
    <w:rsid w:val="00FA69D5"/>
    <w:rsid w:val="00FA7533"/>
    <w:rsid w:val="00FA7B99"/>
    <w:rsid w:val="00FA7E2A"/>
    <w:rsid w:val="00FB0157"/>
    <w:rsid w:val="00FB04EB"/>
    <w:rsid w:val="00FB17C9"/>
    <w:rsid w:val="00FB229B"/>
    <w:rsid w:val="00FB34A7"/>
    <w:rsid w:val="00FB5099"/>
    <w:rsid w:val="00FB6A04"/>
    <w:rsid w:val="00FC2ED6"/>
    <w:rsid w:val="00FC361D"/>
    <w:rsid w:val="00FC3CAC"/>
    <w:rsid w:val="00FC3F6E"/>
    <w:rsid w:val="00FC41FB"/>
    <w:rsid w:val="00FC4983"/>
    <w:rsid w:val="00FC4C84"/>
    <w:rsid w:val="00FC4D1E"/>
    <w:rsid w:val="00FC51B9"/>
    <w:rsid w:val="00FC580B"/>
    <w:rsid w:val="00FC5EA2"/>
    <w:rsid w:val="00FC6343"/>
    <w:rsid w:val="00FC6555"/>
    <w:rsid w:val="00FC67F5"/>
    <w:rsid w:val="00FC6C8B"/>
    <w:rsid w:val="00FC7D4C"/>
    <w:rsid w:val="00FD059B"/>
    <w:rsid w:val="00FD0774"/>
    <w:rsid w:val="00FD1D4C"/>
    <w:rsid w:val="00FD219C"/>
    <w:rsid w:val="00FD27FD"/>
    <w:rsid w:val="00FD3B0C"/>
    <w:rsid w:val="00FD4747"/>
    <w:rsid w:val="00FD5394"/>
    <w:rsid w:val="00FD65D4"/>
    <w:rsid w:val="00FD6FB4"/>
    <w:rsid w:val="00FD7771"/>
    <w:rsid w:val="00FD7E4F"/>
    <w:rsid w:val="00FD7F4E"/>
    <w:rsid w:val="00FE0BC2"/>
    <w:rsid w:val="00FE0D65"/>
    <w:rsid w:val="00FE1089"/>
    <w:rsid w:val="00FE131B"/>
    <w:rsid w:val="00FE13AB"/>
    <w:rsid w:val="00FE1FB6"/>
    <w:rsid w:val="00FE2588"/>
    <w:rsid w:val="00FE37CB"/>
    <w:rsid w:val="00FE3AF6"/>
    <w:rsid w:val="00FE61AA"/>
    <w:rsid w:val="00FF1CA5"/>
    <w:rsid w:val="00FF32E3"/>
    <w:rsid w:val="00FF3347"/>
    <w:rsid w:val="00FF3A68"/>
    <w:rsid w:val="00FF4156"/>
    <w:rsid w:val="00FF5CFF"/>
    <w:rsid w:val="00FF6360"/>
    <w:rsid w:val="00FF66EB"/>
    <w:rsid w:val="0BC7F512"/>
    <w:rsid w:val="1C7051B1"/>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BC60F2"/>
  <w15:chartTrackingRefBased/>
  <w15:docId w15:val="{9B880739-FED9-415B-984D-FB2BF171B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B55794"/>
    <w:pPr>
      <w:spacing w:after="0" w:line="240" w:lineRule="auto"/>
    </w:pPr>
    <w:rPr>
      <w:rFonts w:ascii="Times New Roman" w:eastAsia="Times New Roman" w:hAnsi="Times New Roman" w:cs="Times New Roman"/>
      <w:kern w:val="0"/>
      <w:lang w:val="es-ES" w:eastAsia="es-ES"/>
      <w14:ligatures w14:val="none"/>
    </w:rPr>
  </w:style>
  <w:style w:type="paragraph" w:styleId="Ttulo1">
    <w:name w:val="heading 1"/>
    <w:basedOn w:val="Normal"/>
    <w:next w:val="Normal"/>
    <w:link w:val="Ttulo1Car"/>
    <w:uiPriority w:val="9"/>
    <w:qFormat/>
    <w:rsid w:val="00B557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557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B5579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5579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5579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55794"/>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55794"/>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55794"/>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55794"/>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55794"/>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55794"/>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B55794"/>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55794"/>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55794"/>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5579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5579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5579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55794"/>
    <w:rPr>
      <w:rFonts w:eastAsiaTheme="majorEastAsia" w:cstheme="majorBidi"/>
      <w:color w:val="272727" w:themeColor="text1" w:themeTint="D8"/>
    </w:rPr>
  </w:style>
  <w:style w:type="paragraph" w:styleId="Ttulo">
    <w:name w:val="Title"/>
    <w:basedOn w:val="Normal"/>
    <w:next w:val="Normal"/>
    <w:link w:val="TtuloCar"/>
    <w:uiPriority w:val="10"/>
    <w:qFormat/>
    <w:rsid w:val="00B55794"/>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5579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55794"/>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5579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55794"/>
    <w:pPr>
      <w:spacing w:before="160"/>
      <w:jc w:val="center"/>
    </w:pPr>
    <w:rPr>
      <w:i/>
      <w:iCs/>
      <w:color w:val="404040" w:themeColor="text1" w:themeTint="BF"/>
    </w:rPr>
  </w:style>
  <w:style w:type="character" w:customStyle="1" w:styleId="CitaCar">
    <w:name w:val="Cita Car"/>
    <w:basedOn w:val="Fuentedeprrafopredeter"/>
    <w:link w:val="Cita"/>
    <w:uiPriority w:val="29"/>
    <w:rsid w:val="00B55794"/>
    <w:rPr>
      <w:i/>
      <w:iCs/>
      <w:color w:val="404040" w:themeColor="text1" w:themeTint="BF"/>
    </w:rPr>
  </w:style>
  <w:style w:type="paragraph" w:styleId="Prrafodelista">
    <w:name w:val="List Paragraph"/>
    <w:basedOn w:val="Normal"/>
    <w:link w:val="PrrafodelistaCar"/>
    <w:uiPriority w:val="34"/>
    <w:qFormat/>
    <w:rsid w:val="00B55794"/>
    <w:pPr>
      <w:ind w:left="720"/>
      <w:contextualSpacing/>
    </w:pPr>
  </w:style>
  <w:style w:type="character" w:styleId="nfasisintenso">
    <w:name w:val="Intense Emphasis"/>
    <w:basedOn w:val="Fuentedeprrafopredeter"/>
    <w:uiPriority w:val="21"/>
    <w:qFormat/>
    <w:rsid w:val="00B55794"/>
    <w:rPr>
      <w:i/>
      <w:iCs/>
      <w:color w:val="0F4761" w:themeColor="accent1" w:themeShade="BF"/>
    </w:rPr>
  </w:style>
  <w:style w:type="paragraph" w:styleId="Citadestacada">
    <w:name w:val="Intense Quote"/>
    <w:basedOn w:val="Normal"/>
    <w:next w:val="Normal"/>
    <w:link w:val="CitadestacadaCar"/>
    <w:uiPriority w:val="30"/>
    <w:qFormat/>
    <w:rsid w:val="00B557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55794"/>
    <w:rPr>
      <w:i/>
      <w:iCs/>
      <w:color w:val="0F4761" w:themeColor="accent1" w:themeShade="BF"/>
    </w:rPr>
  </w:style>
  <w:style w:type="character" w:styleId="Referenciaintensa">
    <w:name w:val="Intense Reference"/>
    <w:basedOn w:val="Fuentedeprrafopredeter"/>
    <w:uiPriority w:val="32"/>
    <w:qFormat/>
    <w:rsid w:val="00B55794"/>
    <w:rPr>
      <w:b/>
      <w:bCs/>
      <w:smallCaps/>
      <w:color w:val="0F4761" w:themeColor="accent1" w:themeShade="BF"/>
      <w:spacing w:val="5"/>
    </w:rPr>
  </w:style>
  <w:style w:type="character" w:customStyle="1" w:styleId="normaltextrun">
    <w:name w:val="normaltextrun"/>
    <w:basedOn w:val="Fuentedeprrafopredeter"/>
    <w:rsid w:val="00B55794"/>
  </w:style>
  <w:style w:type="paragraph" w:customStyle="1" w:styleId="paragraph">
    <w:name w:val="paragraph"/>
    <w:basedOn w:val="Normal"/>
    <w:rsid w:val="00B55794"/>
    <w:pPr>
      <w:spacing w:before="100" w:beforeAutospacing="1" w:after="100" w:afterAutospacing="1"/>
    </w:pPr>
    <w:rPr>
      <w:lang w:val="es-CO" w:eastAsia="es-CO"/>
    </w:rPr>
  </w:style>
  <w:style w:type="character" w:customStyle="1" w:styleId="PrrafodelistaCar">
    <w:name w:val="Párrafo de lista Car"/>
    <w:link w:val="Prrafodelista"/>
    <w:uiPriority w:val="34"/>
    <w:locked/>
    <w:rsid w:val="00B55794"/>
  </w:style>
  <w:style w:type="paragraph" w:styleId="Encabezado">
    <w:name w:val="header"/>
    <w:basedOn w:val="Normal"/>
    <w:link w:val="EncabezadoCar"/>
    <w:unhideWhenUsed/>
    <w:rsid w:val="00355A40"/>
    <w:pPr>
      <w:tabs>
        <w:tab w:val="center" w:pos="4419"/>
        <w:tab w:val="right" w:pos="8838"/>
      </w:tabs>
    </w:pPr>
  </w:style>
  <w:style w:type="character" w:customStyle="1" w:styleId="EncabezadoCar">
    <w:name w:val="Encabezado Car"/>
    <w:basedOn w:val="Fuentedeprrafopredeter"/>
    <w:link w:val="Encabezado"/>
    <w:rsid w:val="00355A40"/>
    <w:rPr>
      <w:rFonts w:ascii="Times New Roman" w:eastAsia="Times New Roman" w:hAnsi="Times New Roman" w:cs="Times New Roman"/>
      <w:kern w:val="0"/>
      <w:lang w:val="es-ES" w:eastAsia="es-ES"/>
      <w14:ligatures w14:val="none"/>
    </w:rPr>
  </w:style>
  <w:style w:type="paragraph" w:styleId="Piedepgina">
    <w:name w:val="footer"/>
    <w:basedOn w:val="Normal"/>
    <w:link w:val="PiedepginaCar"/>
    <w:uiPriority w:val="99"/>
    <w:unhideWhenUsed/>
    <w:rsid w:val="00355A40"/>
    <w:pPr>
      <w:tabs>
        <w:tab w:val="center" w:pos="4419"/>
        <w:tab w:val="right" w:pos="8838"/>
      </w:tabs>
    </w:pPr>
  </w:style>
  <w:style w:type="character" w:customStyle="1" w:styleId="PiedepginaCar">
    <w:name w:val="Pie de página Car"/>
    <w:basedOn w:val="Fuentedeprrafopredeter"/>
    <w:link w:val="Piedepgina"/>
    <w:uiPriority w:val="99"/>
    <w:rsid w:val="00355A40"/>
    <w:rPr>
      <w:rFonts w:ascii="Times New Roman" w:eastAsia="Times New Roman" w:hAnsi="Times New Roman" w:cs="Times New Roman"/>
      <w:kern w:val="0"/>
      <w:lang w:val="es-ES" w:eastAsia="es-ES"/>
      <w14:ligatures w14:val="none"/>
    </w:rPr>
  </w:style>
  <w:style w:type="character" w:styleId="Textodelmarcadordeposicin">
    <w:name w:val="Placeholder Text"/>
    <w:basedOn w:val="Fuentedeprrafopredeter"/>
    <w:uiPriority w:val="99"/>
    <w:semiHidden/>
    <w:rsid w:val="009011D1"/>
    <w:rPr>
      <w:color w:val="666666"/>
    </w:rPr>
  </w:style>
  <w:style w:type="paragraph" w:styleId="Revisin">
    <w:name w:val="Revision"/>
    <w:hidden/>
    <w:uiPriority w:val="99"/>
    <w:semiHidden/>
    <w:rsid w:val="007E73EB"/>
    <w:pPr>
      <w:spacing w:after="0" w:line="240" w:lineRule="auto"/>
    </w:pPr>
    <w:rPr>
      <w:rFonts w:ascii="Times New Roman" w:eastAsia="Times New Roman" w:hAnsi="Times New Roman" w:cs="Times New Roman"/>
      <w:kern w:val="0"/>
      <w:lang w:val="es-ES" w:eastAsia="es-ES"/>
      <w14:ligatures w14:val="none"/>
    </w:rPr>
  </w:style>
  <w:style w:type="character" w:styleId="Refdecomentario">
    <w:name w:val="annotation reference"/>
    <w:basedOn w:val="Fuentedeprrafopredeter"/>
    <w:uiPriority w:val="99"/>
    <w:semiHidden/>
    <w:unhideWhenUsed/>
    <w:rsid w:val="00F91777"/>
    <w:rPr>
      <w:sz w:val="16"/>
      <w:szCs w:val="16"/>
    </w:rPr>
  </w:style>
  <w:style w:type="paragraph" w:styleId="Textocomentario">
    <w:name w:val="annotation text"/>
    <w:basedOn w:val="Normal"/>
    <w:link w:val="TextocomentarioCar"/>
    <w:uiPriority w:val="99"/>
    <w:unhideWhenUsed/>
    <w:rsid w:val="00F91777"/>
    <w:rPr>
      <w:sz w:val="20"/>
      <w:szCs w:val="20"/>
    </w:rPr>
  </w:style>
  <w:style w:type="character" w:customStyle="1" w:styleId="TextocomentarioCar">
    <w:name w:val="Texto comentario Car"/>
    <w:basedOn w:val="Fuentedeprrafopredeter"/>
    <w:link w:val="Textocomentario"/>
    <w:uiPriority w:val="99"/>
    <w:rsid w:val="00F91777"/>
    <w:rPr>
      <w:rFonts w:ascii="Times New Roman" w:eastAsia="Times New Roman" w:hAnsi="Times New Roman" w:cs="Times New Roman"/>
      <w:kern w:val="0"/>
      <w:sz w:val="20"/>
      <w:szCs w:val="20"/>
      <w:lang w:val="es-ES" w:eastAsia="es-ES"/>
      <w14:ligatures w14:val="none"/>
    </w:rPr>
  </w:style>
  <w:style w:type="paragraph" w:styleId="Asuntodelcomentario">
    <w:name w:val="annotation subject"/>
    <w:basedOn w:val="Textocomentario"/>
    <w:next w:val="Textocomentario"/>
    <w:link w:val="AsuntodelcomentarioCar"/>
    <w:uiPriority w:val="99"/>
    <w:semiHidden/>
    <w:unhideWhenUsed/>
    <w:rsid w:val="00F91777"/>
    <w:rPr>
      <w:b/>
      <w:bCs/>
    </w:rPr>
  </w:style>
  <w:style w:type="character" w:customStyle="1" w:styleId="AsuntodelcomentarioCar">
    <w:name w:val="Asunto del comentario Car"/>
    <w:basedOn w:val="TextocomentarioCar"/>
    <w:link w:val="Asuntodelcomentario"/>
    <w:uiPriority w:val="99"/>
    <w:semiHidden/>
    <w:rsid w:val="00F91777"/>
    <w:rPr>
      <w:rFonts w:ascii="Times New Roman" w:eastAsia="Times New Roman" w:hAnsi="Times New Roman" w:cs="Times New Roman"/>
      <w:b/>
      <w:bCs/>
      <w:kern w:val="0"/>
      <w:sz w:val="20"/>
      <w:szCs w:val="20"/>
      <w:lang w:val="es-ES" w:eastAsia="es-ES"/>
      <w14:ligatures w14:val="none"/>
    </w:rPr>
  </w:style>
  <w:style w:type="character" w:styleId="Mencionar">
    <w:name w:val="Mention"/>
    <w:basedOn w:val="Fuentedeprrafopredeter"/>
    <w:uiPriority w:val="99"/>
    <w:unhideWhenUsed/>
    <w:rsid w:val="0008526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2074">
      <w:bodyDiv w:val="1"/>
      <w:marLeft w:val="0"/>
      <w:marRight w:val="0"/>
      <w:marTop w:val="0"/>
      <w:marBottom w:val="0"/>
      <w:divBdr>
        <w:top w:val="none" w:sz="0" w:space="0" w:color="auto"/>
        <w:left w:val="none" w:sz="0" w:space="0" w:color="auto"/>
        <w:bottom w:val="none" w:sz="0" w:space="0" w:color="auto"/>
        <w:right w:val="none" w:sz="0" w:space="0" w:color="auto"/>
      </w:divBdr>
    </w:div>
    <w:div w:id="369182695">
      <w:bodyDiv w:val="1"/>
      <w:marLeft w:val="0"/>
      <w:marRight w:val="0"/>
      <w:marTop w:val="0"/>
      <w:marBottom w:val="0"/>
      <w:divBdr>
        <w:top w:val="none" w:sz="0" w:space="0" w:color="auto"/>
        <w:left w:val="none" w:sz="0" w:space="0" w:color="auto"/>
        <w:bottom w:val="none" w:sz="0" w:space="0" w:color="auto"/>
        <w:right w:val="none" w:sz="0" w:space="0" w:color="auto"/>
      </w:divBdr>
    </w:div>
    <w:div w:id="792821481">
      <w:bodyDiv w:val="1"/>
      <w:marLeft w:val="0"/>
      <w:marRight w:val="0"/>
      <w:marTop w:val="0"/>
      <w:marBottom w:val="0"/>
      <w:divBdr>
        <w:top w:val="none" w:sz="0" w:space="0" w:color="auto"/>
        <w:left w:val="none" w:sz="0" w:space="0" w:color="auto"/>
        <w:bottom w:val="none" w:sz="0" w:space="0" w:color="auto"/>
        <w:right w:val="none" w:sz="0" w:space="0" w:color="auto"/>
      </w:divBdr>
    </w:div>
    <w:div w:id="970597804">
      <w:bodyDiv w:val="1"/>
      <w:marLeft w:val="0"/>
      <w:marRight w:val="0"/>
      <w:marTop w:val="0"/>
      <w:marBottom w:val="0"/>
      <w:divBdr>
        <w:top w:val="none" w:sz="0" w:space="0" w:color="auto"/>
        <w:left w:val="none" w:sz="0" w:space="0" w:color="auto"/>
        <w:bottom w:val="none" w:sz="0" w:space="0" w:color="auto"/>
        <w:right w:val="none" w:sz="0" w:space="0" w:color="auto"/>
      </w:divBdr>
    </w:div>
    <w:div w:id="1065179889">
      <w:bodyDiv w:val="1"/>
      <w:marLeft w:val="0"/>
      <w:marRight w:val="0"/>
      <w:marTop w:val="0"/>
      <w:marBottom w:val="0"/>
      <w:divBdr>
        <w:top w:val="none" w:sz="0" w:space="0" w:color="auto"/>
        <w:left w:val="none" w:sz="0" w:space="0" w:color="auto"/>
        <w:bottom w:val="none" w:sz="0" w:space="0" w:color="auto"/>
        <w:right w:val="none" w:sz="0" w:space="0" w:color="auto"/>
      </w:divBdr>
    </w:div>
    <w:div w:id="1294798035">
      <w:bodyDiv w:val="1"/>
      <w:marLeft w:val="0"/>
      <w:marRight w:val="0"/>
      <w:marTop w:val="0"/>
      <w:marBottom w:val="0"/>
      <w:divBdr>
        <w:top w:val="none" w:sz="0" w:space="0" w:color="auto"/>
        <w:left w:val="none" w:sz="0" w:space="0" w:color="auto"/>
        <w:bottom w:val="none" w:sz="0" w:space="0" w:color="auto"/>
        <w:right w:val="none" w:sz="0" w:space="0" w:color="auto"/>
      </w:divBdr>
    </w:div>
    <w:div w:id="1415735588">
      <w:bodyDiv w:val="1"/>
      <w:marLeft w:val="0"/>
      <w:marRight w:val="0"/>
      <w:marTop w:val="0"/>
      <w:marBottom w:val="0"/>
      <w:divBdr>
        <w:top w:val="none" w:sz="0" w:space="0" w:color="auto"/>
        <w:left w:val="none" w:sz="0" w:space="0" w:color="auto"/>
        <w:bottom w:val="none" w:sz="0" w:space="0" w:color="auto"/>
        <w:right w:val="none" w:sz="0" w:space="0" w:color="auto"/>
      </w:divBdr>
    </w:div>
    <w:div w:id="150235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8E9AF2439FA7E4E988314C44DB5AA59" ma:contentTypeVersion="4" ma:contentTypeDescription="Create a new document." ma:contentTypeScope="" ma:versionID="2c5a09b80c1fd93302390f922635c7dd">
  <xsd:schema xmlns:xsd="http://www.w3.org/2001/XMLSchema" xmlns:xs="http://www.w3.org/2001/XMLSchema" xmlns:p="http://schemas.microsoft.com/office/2006/metadata/properties" xmlns:ns2="95a0a79e-7ff5-48b1-9982-9626409a05d1" targetNamespace="http://schemas.microsoft.com/office/2006/metadata/properties" ma:root="true" ma:fieldsID="df3ec597f10fb24804f0133d03624874" ns2:_="">
    <xsd:import namespace="95a0a79e-7ff5-48b1-9982-9626409a0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0a79e-7ff5-48b1-9982-9626409a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A5047F-2674-4C6F-979A-028E8B7A0F18}">
  <ds:schemaRefs>
    <ds:schemaRef ds:uri="http://schemas.openxmlformats.org/officeDocument/2006/bibliography"/>
  </ds:schemaRefs>
</ds:datastoreItem>
</file>

<file path=customXml/itemProps2.xml><?xml version="1.0" encoding="utf-8"?>
<ds:datastoreItem xmlns:ds="http://schemas.openxmlformats.org/officeDocument/2006/customXml" ds:itemID="{F4E60686-5094-40D8-8921-F082975E74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0a79e-7ff5-48b1-9982-9626409a0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4728BD-A924-451F-B011-92CFB4CFBA9D}">
  <ds:schemaRefs>
    <ds:schemaRef ds:uri="http://www.w3.org/XML/1998/namespace"/>
    <ds:schemaRef ds:uri="http://schemas.openxmlformats.org/package/2006/metadata/core-properties"/>
    <ds:schemaRef ds:uri="http://schemas.microsoft.com/office/infopath/2007/PartnerControls"/>
    <ds:schemaRef ds:uri="http://schemas.microsoft.com/office/2006/documentManagement/types"/>
    <ds:schemaRef ds:uri="http://purl.org/dc/terms/"/>
    <ds:schemaRef ds:uri="http://purl.org/dc/dcmitype/"/>
    <ds:schemaRef ds:uri="95a0a79e-7ff5-48b1-9982-9626409a05d1"/>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E0A56CC9-3FC8-4E65-834E-15EB7D56962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3075</TotalTime>
  <Pages>13</Pages>
  <Words>8098</Words>
  <Characters>44545</Characters>
  <Application>Microsoft Office Word</Application>
  <DocSecurity>0</DocSecurity>
  <Lines>371</Lines>
  <Paragraphs>105</Paragraphs>
  <ScaleCrop>false</ScaleCrop>
  <Company/>
  <LinksUpToDate>false</LinksUpToDate>
  <CharactersWithSpaces>52538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Lucinda Diaz Cleves</dc:creator>
  <cp:keywords/>
  <dc:description/>
  <cp:lastModifiedBy>Ana Maria Perez Herran</cp:lastModifiedBy>
  <cp:revision>1745</cp:revision>
  <cp:lastPrinted>2025-06-18T07:41:00Z</cp:lastPrinted>
  <dcterms:created xsi:type="dcterms:W3CDTF">2025-01-31T05:46:00Z</dcterms:created>
  <dcterms:modified xsi:type="dcterms:W3CDTF">2025-09-05T16:45:00Z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0x01010008E9AF2439FA7E4E988314C44DB5AA59</vt:lpwstr>
  </property>
  <property fmtid="{D5CDD505-2E9C-101B-9397-08002B2CF9AE}" pid="3" name="docLang">
    <vt:lpwstr>es</vt:lpwstr>
  </property>
</Properties>
</file>